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id w:val="-305004114"/>
        <w:docPartObj>
          <w:docPartGallery w:val="Cover Pages"/>
          <w:docPartUnique/>
        </w:docPartObj>
      </w:sdtPr>
      <w:sdtEndPr>
        <w:rPr>
          <w:rFonts w:ascii="Segoe UI" w:hAnsi="Segoe UI" w:cs="Segoe UI"/>
        </w:rPr>
      </w:sdtEndPr>
      <w:sdtContent>
        <w:p w:rsidR="003237DD" w:rsidRDefault="00552082">
          <w:r>
            <w:rPr>
              <w:noProof/>
            </w:rPr>
            <w:pict>
              <v:group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angle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<v:fill r:id="rId8" o:title="" recolor="t" rotate="t" type="frame"/>
                </v:rect>
                <w10:wrap anchorx="page" anchory="page"/>
              </v:group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9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" filled="f" stroked="f" strokeweight=".5pt">
                <v:textbox inset="126pt,0,54pt,0">
                  <w:txbxContent>
                    <w:p w:rsidR="003237DD" w:rsidRDefault="00552082">
                      <w:pPr>
                        <w:jc w:val="right"/>
                        <w:rPr>
                          <w:color w:val="5B9BD5" w:themeColor="accent1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64"/>
                            <w:szCs w:val="64"/>
                          </w:rPr>
                          <w:alias w:val="Title"/>
                          <w:tag w:val=""/>
                          <w:id w:val="63014107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>
                          <w:rPr>
                            <w:caps w:val="0"/>
                          </w:rPr>
                        </w:sdtEndPr>
                        <w:sdtContent>
                          <w:r w:rsidR="003237DD">
                            <w:rPr>
                              <w:caps/>
                              <w:color w:val="5B9BD5" w:themeColor="accent1"/>
                              <w:sz w:val="64"/>
                              <w:szCs w:val="64"/>
                            </w:rPr>
                            <w:t>LABOR MARKET DATA</w:t>
                          </w:r>
                        </w:sdtContent>
                      </w:sdt>
                    </w:p>
                    <w:sdt>
                      <w:sdtPr>
                        <w:rPr>
                          <w:color w:val="404040" w:themeColor="text1" w:themeTint="BF"/>
                          <w:sz w:val="36"/>
                          <w:szCs w:val="36"/>
                        </w:rPr>
                        <w:alias w:val="Subtitle"/>
                        <w:tag w:val=""/>
                        <w:id w:val="1759551507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p w:rsidR="003237DD" w:rsidRDefault="00FF12BB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Business Foundations Certificate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w:r>
          <w:r w:rsidR="003237DD">
            <w:t xml:space="preserve">Program Employment </w:t>
          </w:r>
        </w:p>
        <w:p w:rsidR="003237DD" w:rsidRDefault="003237DD">
          <w:pPr>
            <w:rPr>
              <w:rFonts w:ascii="Segoe UI" w:hAnsi="Segoe UI" w:cs="Segoe UI"/>
            </w:rPr>
          </w:pPr>
          <w:r>
            <w:rPr>
              <w:rFonts w:ascii="Segoe UI" w:hAnsi="Segoe UI" w:cs="Segoe UI"/>
            </w:rPr>
            <w:br w:type="page"/>
          </w:r>
        </w:p>
      </w:sdtContent>
    </w:sdt>
    <w:p w:rsidR="009813F9" w:rsidRDefault="00B67E2D" w:rsidP="00FA75D3">
      <w:pPr>
        <w:spacing w:after="0" w:line="240" w:lineRule="auto"/>
        <w:rPr>
          <w:rFonts w:ascii="Segoe UI" w:hAnsi="Segoe UI" w:cs="Segoe UI"/>
          <w:b/>
        </w:rPr>
      </w:pPr>
      <w:r w:rsidRPr="004B3123">
        <w:rPr>
          <w:rFonts w:ascii="Segoe UI" w:hAnsi="Segoe UI" w:cs="Segoe UI"/>
          <w:b/>
        </w:rPr>
        <w:lastRenderedPageBreak/>
        <w:t>Overview:</w:t>
      </w:r>
    </w:p>
    <w:p w:rsidR="00135B9E" w:rsidRDefault="00FF12BB" w:rsidP="00FA75D3">
      <w:pPr>
        <w:spacing w:after="0" w:line="240" w:lineRule="auto"/>
        <w:jc w:val="both"/>
        <w:rPr>
          <w:rFonts w:ascii="Segoe UI" w:eastAsia="Calibri" w:hAnsi="Segoe UI" w:cs="Segoe UI"/>
        </w:rPr>
      </w:pPr>
      <w:r w:rsidRPr="004B3123">
        <w:rPr>
          <w:rFonts w:ascii="Segoe UI" w:hAnsi="Segoe UI" w:cs="Segoe UI"/>
        </w:rPr>
        <w:t>As detailed in the narrative</w:t>
      </w:r>
      <w:r w:rsidR="00302C82">
        <w:rPr>
          <w:rFonts w:ascii="Segoe UI" w:hAnsi="Segoe UI" w:cs="Segoe UI"/>
        </w:rPr>
        <w:t>,</w:t>
      </w:r>
      <w:r w:rsidRPr="004B3123">
        <w:rPr>
          <w:rFonts w:ascii="Segoe UI" w:hAnsi="Segoe UI" w:cs="Segoe UI"/>
        </w:rPr>
        <w:t xml:space="preserve"> a</w:t>
      </w:r>
      <w:r w:rsidRPr="004B3123">
        <w:rPr>
          <w:rFonts w:ascii="Segoe UI" w:hAnsi="Segoe UI" w:cs="Segoe UI"/>
          <w:i/>
        </w:rPr>
        <w:t xml:space="preserve"> Business Foundations Certificate (BFC) </w:t>
      </w:r>
      <w:r w:rsidR="004B3123">
        <w:rPr>
          <w:rFonts w:ascii="Segoe UI" w:hAnsi="Segoe UI" w:cs="Segoe UI"/>
        </w:rPr>
        <w:t>will provide students the</w:t>
      </w:r>
      <w:r w:rsidR="004B3123">
        <w:rPr>
          <w:rFonts w:ascii="Segoe UI" w:eastAsia="Calibri" w:hAnsi="Segoe UI" w:cs="Segoe UI"/>
        </w:rPr>
        <w:t xml:space="preserve"> opportunity to obtain</w:t>
      </w:r>
      <w:r w:rsidR="004B3123" w:rsidRPr="004B3123">
        <w:rPr>
          <w:rFonts w:ascii="Segoe UI" w:eastAsia="Calibri" w:hAnsi="Segoe UI" w:cs="Segoe UI"/>
        </w:rPr>
        <w:t xml:space="preserve"> foundational knowledge of modern business and management theories</w:t>
      </w:r>
      <w:r w:rsidR="004B3123">
        <w:rPr>
          <w:rFonts w:ascii="Segoe UI" w:eastAsia="Calibri" w:hAnsi="Segoe UI" w:cs="Segoe UI"/>
        </w:rPr>
        <w:t>.</w:t>
      </w:r>
      <w:r w:rsidR="008A1C8D">
        <w:rPr>
          <w:rFonts w:ascii="Segoe UI" w:eastAsia="Calibri" w:hAnsi="Segoe UI" w:cs="Segoe UI"/>
        </w:rPr>
        <w:t xml:space="preserve"> </w:t>
      </w:r>
      <w:r w:rsidR="004B3123">
        <w:rPr>
          <w:rFonts w:ascii="Segoe UI" w:eastAsia="Calibri" w:hAnsi="Segoe UI" w:cs="Segoe UI"/>
        </w:rPr>
        <w:t>In acquiring a</w:t>
      </w:r>
      <w:r w:rsidRPr="004B3123">
        <w:rPr>
          <w:rFonts w:ascii="Segoe UI" w:eastAsia="Calibri" w:hAnsi="Segoe UI" w:cs="Segoe UI"/>
        </w:rPr>
        <w:t xml:space="preserve">nalytical skills learned in human relations, accounting, </w:t>
      </w:r>
      <w:r w:rsidR="00837158">
        <w:rPr>
          <w:rFonts w:ascii="Segoe UI" w:eastAsia="Calibri" w:hAnsi="Segoe UI" w:cs="Segoe UI"/>
        </w:rPr>
        <w:t xml:space="preserve">law, </w:t>
      </w:r>
      <w:r w:rsidRPr="004B3123">
        <w:rPr>
          <w:rFonts w:ascii="Segoe UI" w:eastAsia="Calibri" w:hAnsi="Segoe UI" w:cs="Segoe UI"/>
        </w:rPr>
        <w:t>marketing, entrepreneurship, management, economics, and finance</w:t>
      </w:r>
      <w:r w:rsidR="00302C82">
        <w:rPr>
          <w:rFonts w:ascii="Segoe UI" w:eastAsia="Calibri" w:hAnsi="Segoe UI" w:cs="Segoe UI"/>
        </w:rPr>
        <w:t>;</w:t>
      </w:r>
      <w:r w:rsidR="004B3123">
        <w:rPr>
          <w:rFonts w:ascii="Segoe UI" w:eastAsia="Calibri" w:hAnsi="Segoe UI" w:cs="Segoe UI"/>
        </w:rPr>
        <w:t xml:space="preserve"> students will gain </w:t>
      </w:r>
      <w:r w:rsidR="00302C82">
        <w:rPr>
          <w:rFonts w:ascii="Segoe UI" w:eastAsia="Calibri" w:hAnsi="Segoe UI" w:cs="Segoe UI"/>
        </w:rPr>
        <w:t xml:space="preserve">foundational </w:t>
      </w:r>
      <w:r w:rsidR="004B3123">
        <w:rPr>
          <w:rFonts w:ascii="Segoe UI" w:eastAsia="Calibri" w:hAnsi="Segoe UI" w:cs="Segoe UI"/>
        </w:rPr>
        <w:t>business</w:t>
      </w:r>
      <w:r w:rsidR="00FA75D3">
        <w:rPr>
          <w:rFonts w:ascii="Segoe UI" w:eastAsia="Calibri" w:hAnsi="Segoe UI" w:cs="Segoe UI"/>
        </w:rPr>
        <w:t xml:space="preserve"> skills. </w:t>
      </w:r>
      <w:r w:rsidR="00CB7059">
        <w:rPr>
          <w:rFonts w:ascii="Segoe UI" w:eastAsia="Calibri" w:hAnsi="Segoe UI" w:cs="Segoe UI"/>
        </w:rPr>
        <w:t>This certificate affords stu</w:t>
      </w:r>
      <w:r w:rsidR="009813F9">
        <w:rPr>
          <w:rFonts w:ascii="Segoe UI" w:eastAsia="Calibri" w:hAnsi="Segoe UI" w:cs="Segoe UI"/>
        </w:rPr>
        <w:t xml:space="preserve">dents the opportunity to use their earned certificate </w:t>
      </w:r>
      <w:r w:rsidR="00FA75D3">
        <w:rPr>
          <w:rFonts w:ascii="Segoe UI" w:eastAsia="Calibri" w:hAnsi="Segoe UI" w:cs="Segoe UI"/>
        </w:rPr>
        <w:t xml:space="preserve">for entry-level </w:t>
      </w:r>
      <w:r w:rsidR="00D84784">
        <w:rPr>
          <w:rFonts w:ascii="Segoe UI" w:eastAsia="Calibri" w:hAnsi="Segoe UI" w:cs="Segoe UI"/>
        </w:rPr>
        <w:t>employment in the business sector</w:t>
      </w:r>
      <w:r w:rsidR="00FA75D3">
        <w:rPr>
          <w:rFonts w:ascii="Segoe UI" w:eastAsia="Calibri" w:hAnsi="Segoe UI" w:cs="Segoe UI"/>
        </w:rPr>
        <w:t>,</w:t>
      </w:r>
      <w:r w:rsidR="009813F9">
        <w:rPr>
          <w:rFonts w:ascii="Segoe UI" w:eastAsia="Calibri" w:hAnsi="Segoe UI" w:cs="Segoe UI"/>
        </w:rPr>
        <w:t xml:space="preserve"> as well as continue their education, if they so choose.  </w:t>
      </w:r>
    </w:p>
    <w:p w:rsidR="00FA75D3" w:rsidRPr="009813F9" w:rsidRDefault="00FA75D3" w:rsidP="00FA75D3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9813F9" w:rsidRDefault="004B3123" w:rsidP="00FA75D3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</w:rPr>
      </w:pPr>
      <w:r w:rsidRPr="00830AF8">
        <w:rPr>
          <w:rFonts w:ascii="Segoe UI" w:eastAsia="Calibri" w:hAnsi="Segoe UI" w:cs="Segoe UI"/>
          <w:b/>
        </w:rPr>
        <w:t>Projected Economic Growth (2017 – 2022)</w:t>
      </w:r>
      <w:r w:rsidR="0049444E">
        <w:rPr>
          <w:rFonts w:ascii="Segoe UI" w:eastAsia="Calibri" w:hAnsi="Segoe UI" w:cs="Segoe UI"/>
          <w:b/>
        </w:rPr>
        <w:t xml:space="preserve"> from the Fresno County Economic Forecast</w:t>
      </w:r>
      <w:r w:rsidRPr="00830AF8">
        <w:rPr>
          <w:rStyle w:val="FootnoteReference"/>
          <w:rFonts w:ascii="Segoe UI" w:eastAsia="Calibri" w:hAnsi="Segoe UI" w:cs="Segoe UI"/>
          <w:b/>
        </w:rPr>
        <w:footnoteReference w:id="1"/>
      </w:r>
      <w:r w:rsidRPr="00830AF8">
        <w:rPr>
          <w:rFonts w:ascii="Segoe UI" w:eastAsia="Calibri" w:hAnsi="Segoe UI" w:cs="Segoe UI"/>
          <w:b/>
        </w:rPr>
        <w:t>:</w:t>
      </w:r>
    </w:p>
    <w:p w:rsidR="00FA75D3" w:rsidRPr="00182942" w:rsidRDefault="00A44E49" w:rsidP="00FA75D3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The table below shows</w:t>
      </w:r>
      <w:r w:rsidR="000630BA">
        <w:rPr>
          <w:rFonts w:ascii="Segoe UI" w:eastAsia="Calibri" w:hAnsi="Segoe UI" w:cs="Segoe UI"/>
        </w:rPr>
        <w:t xml:space="preserve"> </w:t>
      </w:r>
      <w:r w:rsidR="00553BEE">
        <w:rPr>
          <w:rFonts w:ascii="Segoe UI" w:eastAsia="Calibri" w:hAnsi="Segoe UI" w:cs="Segoe UI"/>
        </w:rPr>
        <w:t xml:space="preserve">the </w:t>
      </w:r>
      <w:r w:rsidR="00830AF8" w:rsidRPr="004B3123">
        <w:rPr>
          <w:rFonts w:ascii="Segoe UI" w:eastAsia="Calibri" w:hAnsi="Segoe UI" w:cs="Segoe UI"/>
          <w:i/>
        </w:rPr>
        <w:t>fastest growing job sector</w:t>
      </w:r>
      <w:r w:rsidR="000630BA">
        <w:rPr>
          <w:rFonts w:ascii="Segoe UI" w:eastAsia="Calibri" w:hAnsi="Segoe UI" w:cs="Segoe UI"/>
          <w:i/>
        </w:rPr>
        <w:t xml:space="preserve"> </w:t>
      </w:r>
      <w:r w:rsidR="0049444E">
        <w:rPr>
          <w:rFonts w:ascii="Segoe UI" w:eastAsia="Calibri" w:hAnsi="Segoe UI" w:cs="Segoe UI"/>
        </w:rPr>
        <w:t xml:space="preserve">in Fresno County </w:t>
      </w:r>
      <w:r w:rsidR="00553BEE">
        <w:rPr>
          <w:rFonts w:ascii="Segoe UI" w:eastAsia="Calibri" w:hAnsi="Segoe UI" w:cs="Segoe UI"/>
        </w:rPr>
        <w:t xml:space="preserve">for the next 5 years will be </w:t>
      </w:r>
      <w:r w:rsidR="00830AF8" w:rsidRPr="004B3123">
        <w:rPr>
          <w:rFonts w:ascii="Segoe UI" w:eastAsia="Calibri" w:hAnsi="Segoe UI" w:cs="Segoe UI"/>
        </w:rPr>
        <w:t>professional services. The United States Department of Commerce</w:t>
      </w:r>
      <w:r w:rsidR="00830AF8" w:rsidRPr="004B3123">
        <w:rPr>
          <w:rStyle w:val="FootnoteReference"/>
          <w:rFonts w:ascii="Segoe UI" w:eastAsia="Calibri" w:hAnsi="Segoe UI" w:cs="Segoe UI"/>
        </w:rPr>
        <w:footnoteReference w:id="2"/>
      </w:r>
      <w:r w:rsidR="00830AF8" w:rsidRPr="004B3123">
        <w:rPr>
          <w:rFonts w:ascii="Segoe UI" w:eastAsia="Calibri" w:hAnsi="Segoe UI" w:cs="Segoe UI"/>
        </w:rPr>
        <w:t xml:space="preserve"> lists professional services as </w:t>
      </w:r>
      <w:r w:rsidR="0049444E">
        <w:rPr>
          <w:rFonts w:ascii="Segoe UI" w:eastAsia="Calibri" w:hAnsi="Segoe UI" w:cs="Segoe UI"/>
        </w:rPr>
        <w:t>b</w:t>
      </w:r>
      <w:r w:rsidR="00FA75D3">
        <w:rPr>
          <w:rFonts w:ascii="Segoe UI" w:eastAsia="Calibri" w:hAnsi="Segoe UI" w:cs="Segoe UI"/>
        </w:rPr>
        <w:t xml:space="preserve">usinesses, </w:t>
      </w:r>
      <w:r w:rsidR="00830AF8" w:rsidRPr="004B3123">
        <w:rPr>
          <w:rFonts w:ascii="Segoe UI" w:eastAsia="Calibri" w:hAnsi="Segoe UI" w:cs="Segoe UI"/>
        </w:rPr>
        <w:t xml:space="preserve">firms or consultants that provide payroll services, auditing, tax </w:t>
      </w:r>
      <w:r w:rsidR="00CB7059">
        <w:rPr>
          <w:rFonts w:ascii="Segoe UI" w:eastAsia="Calibri" w:hAnsi="Segoe UI" w:cs="Segoe UI"/>
        </w:rPr>
        <w:t>preparation, paralegal services</w:t>
      </w:r>
      <w:r w:rsidR="00830AF8" w:rsidRPr="004B3123">
        <w:rPr>
          <w:rFonts w:ascii="Segoe UI" w:eastAsia="Calibri" w:hAnsi="Segoe UI" w:cs="Segoe UI"/>
        </w:rPr>
        <w:t xml:space="preserve">, </w:t>
      </w:r>
      <w:r w:rsidR="00830AF8" w:rsidRPr="00182942">
        <w:rPr>
          <w:rFonts w:ascii="Segoe UI" w:eastAsia="Calibri" w:hAnsi="Segoe UI" w:cs="Segoe UI"/>
          <w:i/>
        </w:rPr>
        <w:t>administrative and general management, marketing,</w:t>
      </w:r>
      <w:r w:rsidR="00830AF8" w:rsidRPr="004B3123">
        <w:rPr>
          <w:rFonts w:ascii="Segoe UI" w:eastAsia="Calibri" w:hAnsi="Segoe UI" w:cs="Segoe UI"/>
        </w:rPr>
        <w:t xml:space="preserve"> and physical distribution/logistics.</w:t>
      </w:r>
    </w:p>
    <w:tbl>
      <w:tblPr>
        <w:tblStyle w:val="TableGrid"/>
        <w:tblW w:w="9389" w:type="dxa"/>
        <w:tblLook w:val="04A0"/>
      </w:tblPr>
      <w:tblGrid>
        <w:gridCol w:w="6175"/>
        <w:gridCol w:w="3214"/>
      </w:tblGrid>
      <w:tr w:rsidR="000233B3" w:rsidRPr="00830AF8" w:rsidTr="00FA75D3">
        <w:trPr>
          <w:trHeight w:val="375"/>
        </w:trPr>
        <w:tc>
          <w:tcPr>
            <w:tcW w:w="6175" w:type="dxa"/>
            <w:vAlign w:val="bottom"/>
          </w:tcPr>
          <w:p w:rsidR="000233B3" w:rsidRPr="00830AF8" w:rsidRDefault="000233B3" w:rsidP="00830AF8">
            <w:pPr>
              <w:autoSpaceDE w:val="0"/>
              <w:autoSpaceDN w:val="0"/>
              <w:adjustRightInd w:val="0"/>
              <w:jc w:val="right"/>
              <w:rPr>
                <w:rFonts w:ascii="Segoe UI" w:eastAsia="Calibri" w:hAnsi="Segoe UI" w:cs="Segoe UI"/>
              </w:rPr>
            </w:pPr>
            <w:r w:rsidRPr="00830AF8">
              <w:rPr>
                <w:rFonts w:ascii="Segoe UI" w:eastAsia="Calibri" w:hAnsi="Segoe UI" w:cs="Segoe UI"/>
              </w:rPr>
              <w:t>Expect</w:t>
            </w:r>
            <w:r w:rsidR="00830AF8">
              <w:rPr>
                <w:rFonts w:ascii="Segoe UI" w:eastAsia="Calibri" w:hAnsi="Segoe UI" w:cs="Segoe UI"/>
              </w:rPr>
              <w:t>ed retail</w:t>
            </w:r>
            <w:r w:rsidRPr="00830AF8">
              <w:rPr>
                <w:rFonts w:ascii="Segoe UI" w:eastAsia="Calibri" w:hAnsi="Segoe UI" w:cs="Segoe UI"/>
              </w:rPr>
              <w:t xml:space="preserve"> sales growth </w:t>
            </w:r>
          </w:p>
        </w:tc>
        <w:tc>
          <w:tcPr>
            <w:tcW w:w="3214" w:type="dxa"/>
            <w:vAlign w:val="bottom"/>
          </w:tcPr>
          <w:p w:rsidR="000233B3" w:rsidRPr="00830AF8" w:rsidRDefault="000233B3" w:rsidP="00830AF8">
            <w:pPr>
              <w:autoSpaceDE w:val="0"/>
              <w:autoSpaceDN w:val="0"/>
              <w:adjustRightInd w:val="0"/>
              <w:jc w:val="right"/>
              <w:rPr>
                <w:rFonts w:ascii="Segoe UI" w:eastAsia="Calibri" w:hAnsi="Segoe UI" w:cs="Segoe UI"/>
              </w:rPr>
            </w:pPr>
            <w:r w:rsidRPr="00830AF8">
              <w:rPr>
                <w:rFonts w:ascii="Segoe UI" w:eastAsia="Calibri" w:hAnsi="Segoe UI" w:cs="Segoe UI"/>
              </w:rPr>
              <w:t xml:space="preserve">9.2% </w:t>
            </w:r>
          </w:p>
        </w:tc>
      </w:tr>
      <w:tr w:rsidR="000233B3" w:rsidRPr="00830AF8" w:rsidTr="00FA75D3">
        <w:trPr>
          <w:trHeight w:val="317"/>
        </w:trPr>
        <w:tc>
          <w:tcPr>
            <w:tcW w:w="6175" w:type="dxa"/>
            <w:vAlign w:val="bottom"/>
          </w:tcPr>
          <w:p w:rsidR="000233B3" w:rsidRPr="00830AF8" w:rsidRDefault="000233B3" w:rsidP="00830AF8">
            <w:pPr>
              <w:autoSpaceDE w:val="0"/>
              <w:autoSpaceDN w:val="0"/>
              <w:adjustRightInd w:val="0"/>
              <w:jc w:val="right"/>
              <w:rPr>
                <w:rFonts w:ascii="Segoe UI" w:eastAsia="Calibri" w:hAnsi="Segoe UI" w:cs="Segoe UI"/>
              </w:rPr>
            </w:pPr>
            <w:r w:rsidRPr="00830AF8">
              <w:rPr>
                <w:rFonts w:ascii="Segoe UI" w:eastAsia="Calibri" w:hAnsi="Segoe UI" w:cs="Segoe UI"/>
              </w:rPr>
              <w:t xml:space="preserve">Expected job growth </w:t>
            </w:r>
          </w:p>
        </w:tc>
        <w:tc>
          <w:tcPr>
            <w:tcW w:w="3214" w:type="dxa"/>
            <w:vAlign w:val="bottom"/>
          </w:tcPr>
          <w:p w:rsidR="000233B3" w:rsidRPr="00830AF8" w:rsidRDefault="000233B3" w:rsidP="00830AF8">
            <w:pPr>
              <w:autoSpaceDE w:val="0"/>
              <w:autoSpaceDN w:val="0"/>
              <w:adjustRightInd w:val="0"/>
              <w:jc w:val="right"/>
              <w:rPr>
                <w:rFonts w:ascii="Segoe UI" w:eastAsia="Calibri" w:hAnsi="Segoe UI" w:cs="Segoe UI"/>
              </w:rPr>
            </w:pPr>
            <w:r w:rsidRPr="00830AF8">
              <w:rPr>
                <w:rFonts w:ascii="Segoe UI" w:eastAsia="Calibri" w:hAnsi="Segoe UI" w:cs="Segoe UI"/>
              </w:rPr>
              <w:t xml:space="preserve">4.3% </w:t>
            </w:r>
          </w:p>
        </w:tc>
      </w:tr>
      <w:tr w:rsidR="000233B3" w:rsidRPr="00830AF8" w:rsidTr="00FA75D3">
        <w:trPr>
          <w:trHeight w:val="317"/>
        </w:trPr>
        <w:tc>
          <w:tcPr>
            <w:tcW w:w="6175" w:type="dxa"/>
            <w:shd w:val="clear" w:color="auto" w:fill="BDD6EE" w:themeFill="accent1" w:themeFillTint="66"/>
            <w:vAlign w:val="bottom"/>
          </w:tcPr>
          <w:p w:rsidR="000233B3" w:rsidRPr="00830AF8" w:rsidRDefault="000233B3" w:rsidP="00830AF8">
            <w:pPr>
              <w:autoSpaceDE w:val="0"/>
              <w:autoSpaceDN w:val="0"/>
              <w:adjustRightInd w:val="0"/>
              <w:jc w:val="right"/>
              <w:rPr>
                <w:rFonts w:ascii="Segoe UI" w:eastAsia="Calibri" w:hAnsi="Segoe UI" w:cs="Segoe UI"/>
                <w:b/>
              </w:rPr>
            </w:pPr>
            <w:r w:rsidRPr="00830AF8">
              <w:rPr>
                <w:rFonts w:ascii="Segoe UI" w:eastAsia="Calibri" w:hAnsi="Segoe UI" w:cs="Segoe UI"/>
                <w:b/>
              </w:rPr>
              <w:t xml:space="preserve">Fastest Growing Job sector </w:t>
            </w:r>
          </w:p>
        </w:tc>
        <w:tc>
          <w:tcPr>
            <w:tcW w:w="3214" w:type="dxa"/>
            <w:shd w:val="clear" w:color="auto" w:fill="BDD6EE" w:themeFill="accent1" w:themeFillTint="66"/>
            <w:vAlign w:val="bottom"/>
          </w:tcPr>
          <w:p w:rsidR="000233B3" w:rsidRPr="00830AF8" w:rsidRDefault="000233B3" w:rsidP="00830AF8">
            <w:pPr>
              <w:autoSpaceDE w:val="0"/>
              <w:autoSpaceDN w:val="0"/>
              <w:adjustRightInd w:val="0"/>
              <w:jc w:val="right"/>
              <w:rPr>
                <w:rFonts w:ascii="Segoe UI" w:eastAsia="Calibri" w:hAnsi="Segoe UI" w:cs="Segoe UI"/>
                <w:b/>
              </w:rPr>
            </w:pPr>
            <w:r w:rsidRPr="00830AF8">
              <w:rPr>
                <w:rFonts w:ascii="Segoe UI" w:eastAsia="Calibri" w:hAnsi="Segoe UI" w:cs="Segoe UI"/>
                <w:b/>
              </w:rPr>
              <w:t xml:space="preserve">Professional Services </w:t>
            </w:r>
          </w:p>
        </w:tc>
      </w:tr>
      <w:tr w:rsidR="000233B3" w:rsidRPr="00830AF8" w:rsidTr="00FA75D3">
        <w:trPr>
          <w:trHeight w:val="317"/>
        </w:trPr>
        <w:tc>
          <w:tcPr>
            <w:tcW w:w="6175" w:type="dxa"/>
            <w:shd w:val="clear" w:color="auto" w:fill="auto"/>
            <w:vAlign w:val="bottom"/>
          </w:tcPr>
          <w:p w:rsidR="000233B3" w:rsidRPr="00830AF8" w:rsidRDefault="000233B3" w:rsidP="00830AF8">
            <w:pPr>
              <w:autoSpaceDE w:val="0"/>
              <w:autoSpaceDN w:val="0"/>
              <w:adjustRightInd w:val="0"/>
              <w:jc w:val="right"/>
              <w:rPr>
                <w:rFonts w:ascii="Segoe UI" w:eastAsia="Calibri" w:hAnsi="Segoe UI" w:cs="Segoe UI"/>
              </w:rPr>
            </w:pPr>
            <w:r w:rsidRPr="00830AF8">
              <w:rPr>
                <w:rFonts w:ascii="Segoe UI" w:eastAsia="Calibri" w:hAnsi="Segoe UI" w:cs="Segoe UI"/>
              </w:rPr>
              <w:t>Expected personal income growth</w:t>
            </w:r>
          </w:p>
        </w:tc>
        <w:tc>
          <w:tcPr>
            <w:tcW w:w="3214" w:type="dxa"/>
            <w:shd w:val="clear" w:color="auto" w:fill="auto"/>
            <w:vAlign w:val="bottom"/>
          </w:tcPr>
          <w:p w:rsidR="000233B3" w:rsidRPr="00830AF8" w:rsidRDefault="000233B3" w:rsidP="00830AF8">
            <w:pPr>
              <w:autoSpaceDE w:val="0"/>
              <w:autoSpaceDN w:val="0"/>
              <w:adjustRightInd w:val="0"/>
              <w:jc w:val="right"/>
              <w:rPr>
                <w:rFonts w:ascii="Segoe UI" w:eastAsia="Calibri" w:hAnsi="Segoe UI" w:cs="Segoe UI"/>
              </w:rPr>
            </w:pPr>
            <w:r w:rsidRPr="00830AF8">
              <w:rPr>
                <w:rFonts w:ascii="Segoe UI" w:eastAsia="Calibri" w:hAnsi="Segoe UI" w:cs="Segoe UI"/>
              </w:rPr>
              <w:t xml:space="preserve">11.9% </w:t>
            </w:r>
          </w:p>
        </w:tc>
      </w:tr>
    </w:tbl>
    <w:p w:rsidR="00CB7059" w:rsidRPr="00CB7059" w:rsidRDefault="00CB7059" w:rsidP="0016038A">
      <w:pPr>
        <w:rPr>
          <w:rFonts w:ascii="Segoe UI" w:eastAsia="Calibri" w:hAnsi="Segoe UI" w:cs="Segoe UI"/>
          <w:sz w:val="8"/>
          <w:szCs w:val="8"/>
        </w:rPr>
      </w:pPr>
    </w:p>
    <w:p w:rsidR="00553BEE" w:rsidRDefault="0049444E" w:rsidP="00182942">
      <w:pPr>
        <w:spacing w:after="0" w:line="240" w:lineRule="auto"/>
        <w:jc w:val="both"/>
        <w:rPr>
          <w:rFonts w:ascii="Segoe UI" w:hAnsi="Segoe UI" w:cs="Segoe UI"/>
        </w:rPr>
      </w:pPr>
      <w:proofErr w:type="gramStart"/>
      <w:r w:rsidRPr="00182942">
        <w:rPr>
          <w:rFonts w:ascii="Segoe UI" w:hAnsi="Segoe UI" w:cs="Segoe UI"/>
          <w:b/>
        </w:rPr>
        <w:t>Labor Market Demand</w:t>
      </w:r>
      <w:r w:rsidR="00182942" w:rsidRPr="00182942">
        <w:rPr>
          <w:rFonts w:ascii="Segoe UI" w:hAnsi="Segoe UI" w:cs="Segoe UI"/>
          <w:b/>
        </w:rPr>
        <w:t xml:space="preserve"> Data, Five Year Projections</w:t>
      </w:r>
      <w:r w:rsidR="00F57354">
        <w:rPr>
          <w:rFonts w:ascii="Segoe UI" w:hAnsi="Segoe UI" w:cs="Segoe UI"/>
          <w:b/>
        </w:rPr>
        <w:t xml:space="preserve"> (Regional</w:t>
      </w:r>
      <w:r w:rsidR="00182942" w:rsidRPr="00182942">
        <w:rPr>
          <w:rFonts w:ascii="Segoe UI" w:hAnsi="Segoe UI" w:cs="Segoe UI"/>
          <w:b/>
        </w:rPr>
        <w:t>)</w:t>
      </w:r>
      <w:r w:rsidR="00182942">
        <w:rPr>
          <w:rStyle w:val="FootnoteReference"/>
          <w:rFonts w:ascii="Segoe UI" w:hAnsi="Segoe UI" w:cs="Segoe UI"/>
          <w:b/>
        </w:rPr>
        <w:footnoteReference w:id="3"/>
      </w:r>
      <w:r w:rsidR="00553BEE">
        <w:rPr>
          <w:rFonts w:ascii="Segoe UI" w:hAnsi="Segoe UI" w:cs="Segoe UI"/>
          <w:b/>
        </w:rPr>
        <w:t>.</w:t>
      </w:r>
      <w:proofErr w:type="gramEnd"/>
      <w:r w:rsidR="00553BEE">
        <w:rPr>
          <w:rFonts w:ascii="Segoe UI" w:hAnsi="Segoe UI" w:cs="Segoe UI"/>
          <w:b/>
        </w:rPr>
        <w:t xml:space="preserve"> </w:t>
      </w:r>
      <w:proofErr w:type="gramStart"/>
      <w:r w:rsidR="00A44E49" w:rsidRPr="00F57354">
        <w:rPr>
          <w:rFonts w:ascii="Segoe UI" w:hAnsi="Segoe UI" w:cs="Segoe UI"/>
        </w:rPr>
        <w:t>Regional Labor Market Assessment (CCCCO Doing What Matters)</w:t>
      </w:r>
      <w:r w:rsidR="00553BEE" w:rsidRPr="00F57354">
        <w:rPr>
          <w:rFonts w:ascii="Segoe UI" w:hAnsi="Segoe UI" w:cs="Segoe UI"/>
        </w:rPr>
        <w:t xml:space="preserve"> for the Central Valley</w:t>
      </w:r>
      <w:r w:rsidR="00A44E49" w:rsidRPr="00F57354">
        <w:rPr>
          <w:rFonts w:ascii="Segoe UI" w:hAnsi="Segoe UI" w:cs="Segoe UI"/>
        </w:rPr>
        <w:t>.</w:t>
      </w:r>
      <w:proofErr w:type="gramEnd"/>
    </w:p>
    <w:p w:rsidR="00553BEE" w:rsidRPr="00875975" w:rsidRDefault="00553BEE" w:rsidP="00182942">
      <w:pPr>
        <w:spacing w:after="0" w:line="240" w:lineRule="auto"/>
        <w:jc w:val="both"/>
        <w:rPr>
          <w:rFonts w:ascii="Segoe UI" w:hAnsi="Segoe UI" w:cs="Segoe UI"/>
          <w:sz w:val="12"/>
          <w:szCs w:val="12"/>
        </w:rPr>
      </w:pPr>
    </w:p>
    <w:p w:rsidR="00182942" w:rsidRPr="00553BEE" w:rsidRDefault="00A44E49" w:rsidP="00182942">
      <w:pPr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>L</w:t>
      </w:r>
      <w:r w:rsidR="00182942">
        <w:rPr>
          <w:rFonts w:ascii="Segoe UI" w:hAnsi="Segoe UI" w:cs="Segoe UI"/>
        </w:rPr>
        <w:t>abor market d</w:t>
      </w:r>
      <w:r w:rsidR="00182942" w:rsidRPr="00182942">
        <w:rPr>
          <w:rFonts w:ascii="Segoe UI" w:hAnsi="Segoe UI" w:cs="Segoe UI"/>
        </w:rPr>
        <w:t>emand for business and financial op</w:t>
      </w:r>
      <w:r w:rsidR="00182942">
        <w:rPr>
          <w:rFonts w:ascii="Segoe UI" w:hAnsi="Segoe UI" w:cs="Segoe UI"/>
        </w:rPr>
        <w:t xml:space="preserve">erations group; </w:t>
      </w:r>
      <w:r w:rsidR="0049444E" w:rsidRPr="00182942">
        <w:rPr>
          <w:rFonts w:ascii="Segoe UI" w:hAnsi="Segoe UI" w:cs="Segoe UI"/>
        </w:rPr>
        <w:t>employment estimates, five-y</w:t>
      </w:r>
      <w:r w:rsidR="00182942">
        <w:rPr>
          <w:rFonts w:ascii="Segoe UI" w:hAnsi="Segoe UI" w:cs="Segoe UI"/>
        </w:rPr>
        <w:t>ear projected growth, and</w:t>
      </w:r>
      <w:r w:rsidR="0049444E" w:rsidRPr="00182942">
        <w:rPr>
          <w:rFonts w:ascii="Segoe UI" w:hAnsi="Segoe UI" w:cs="Segoe UI"/>
        </w:rPr>
        <w:t xml:space="preserve"> demand for replacement workers</w:t>
      </w:r>
      <w:r>
        <w:rPr>
          <w:rFonts w:ascii="Segoe UI" w:hAnsi="Segoe UI" w:cs="Segoe UI"/>
        </w:rPr>
        <w:t xml:space="preserve"> details a positive growth most areas of business. </w:t>
      </w:r>
      <w:bookmarkStart w:id="1" w:name="bookmark2"/>
      <w:bookmarkStart w:id="2" w:name="bookmark1"/>
      <w:bookmarkEnd w:id="1"/>
      <w:bookmarkEnd w:id="2"/>
    </w:p>
    <w:tbl>
      <w:tblPr>
        <w:tblW w:w="9453" w:type="dxa"/>
        <w:tblInd w:w="-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"/>
        <w:gridCol w:w="3885"/>
        <w:gridCol w:w="798"/>
        <w:gridCol w:w="798"/>
        <w:gridCol w:w="811"/>
        <w:gridCol w:w="1140"/>
        <w:gridCol w:w="999"/>
      </w:tblGrid>
      <w:tr w:rsidR="00182942" w:rsidRPr="00182942" w:rsidTr="00553BEE">
        <w:trPr>
          <w:trHeight w:hRule="exact" w:val="531"/>
        </w:trPr>
        <w:tc>
          <w:tcPr>
            <w:tcW w:w="1022" w:type="dxa"/>
            <w:tcBorders>
              <w:top w:val="single" w:sz="7" w:space="0" w:color="535353"/>
              <w:left w:val="single" w:sz="7" w:space="0" w:color="535353"/>
              <w:bottom w:val="single" w:sz="7" w:space="0" w:color="000000"/>
              <w:right w:val="single" w:sz="7" w:space="0" w:color="535353"/>
            </w:tcBorders>
            <w:shd w:val="clear" w:color="auto" w:fill="BDD6EE" w:themeFill="accent1" w:themeFillTint="66"/>
            <w:vAlign w:val="center"/>
          </w:tcPr>
          <w:p w:rsidR="00182942" w:rsidRPr="00553BEE" w:rsidRDefault="00182942" w:rsidP="00553BEE">
            <w:pPr>
              <w:spacing w:after="0" w:line="240" w:lineRule="auto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b/>
                <w:bCs/>
                <w:sz w:val="19"/>
                <w:szCs w:val="19"/>
              </w:rPr>
              <w:t>SOC</w:t>
            </w:r>
          </w:p>
        </w:tc>
        <w:tc>
          <w:tcPr>
            <w:tcW w:w="3885" w:type="dxa"/>
            <w:tcBorders>
              <w:top w:val="single" w:sz="7" w:space="0" w:color="535353"/>
              <w:left w:val="single" w:sz="7" w:space="0" w:color="535353"/>
              <w:bottom w:val="single" w:sz="7" w:space="0" w:color="000000"/>
              <w:right w:val="single" w:sz="7" w:space="0" w:color="535353"/>
            </w:tcBorders>
            <w:shd w:val="clear" w:color="auto" w:fill="BDD6EE" w:themeFill="accent1" w:themeFillTint="66"/>
            <w:vAlign w:val="center"/>
          </w:tcPr>
          <w:p w:rsidR="00182942" w:rsidRPr="00553BEE" w:rsidRDefault="00182942" w:rsidP="00553BEE">
            <w:pPr>
              <w:spacing w:after="0" w:line="240" w:lineRule="auto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b/>
                <w:bCs/>
                <w:sz w:val="19"/>
                <w:szCs w:val="19"/>
              </w:rPr>
              <w:t>Occupation</w:t>
            </w:r>
          </w:p>
        </w:tc>
        <w:tc>
          <w:tcPr>
            <w:tcW w:w="798" w:type="dxa"/>
            <w:tcBorders>
              <w:top w:val="single" w:sz="7" w:space="0" w:color="535353"/>
              <w:left w:val="single" w:sz="7" w:space="0" w:color="535353"/>
              <w:bottom w:val="single" w:sz="7" w:space="0" w:color="000000"/>
              <w:right w:val="single" w:sz="7" w:space="0" w:color="535353"/>
            </w:tcBorders>
            <w:shd w:val="clear" w:color="auto" w:fill="BDD6EE" w:themeFill="accent1" w:themeFillTint="66"/>
            <w:vAlign w:val="center"/>
          </w:tcPr>
          <w:p w:rsidR="00182942" w:rsidRPr="00553BEE" w:rsidRDefault="00182942" w:rsidP="00553BEE">
            <w:pPr>
              <w:spacing w:after="0" w:line="240" w:lineRule="auto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b/>
                <w:bCs/>
                <w:sz w:val="19"/>
                <w:szCs w:val="19"/>
              </w:rPr>
              <w:t>2015</w:t>
            </w:r>
          </w:p>
          <w:p w:rsidR="00182942" w:rsidRPr="00553BEE" w:rsidRDefault="00182942" w:rsidP="00553BEE">
            <w:pPr>
              <w:spacing w:after="0" w:line="240" w:lineRule="auto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b/>
                <w:bCs/>
                <w:sz w:val="19"/>
                <w:szCs w:val="19"/>
              </w:rPr>
              <w:t>Jobs</w:t>
            </w:r>
          </w:p>
        </w:tc>
        <w:tc>
          <w:tcPr>
            <w:tcW w:w="798" w:type="dxa"/>
            <w:tcBorders>
              <w:top w:val="single" w:sz="7" w:space="0" w:color="535353"/>
              <w:left w:val="single" w:sz="7" w:space="0" w:color="535353"/>
              <w:bottom w:val="single" w:sz="7" w:space="0" w:color="000000"/>
              <w:right w:val="single" w:sz="7" w:space="0" w:color="535353"/>
            </w:tcBorders>
            <w:shd w:val="clear" w:color="auto" w:fill="BDD6EE" w:themeFill="accent1" w:themeFillTint="66"/>
            <w:vAlign w:val="center"/>
          </w:tcPr>
          <w:p w:rsidR="00182942" w:rsidRPr="00553BEE" w:rsidRDefault="00182942" w:rsidP="00553BEE">
            <w:pPr>
              <w:spacing w:after="0" w:line="240" w:lineRule="auto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b/>
                <w:bCs/>
                <w:sz w:val="19"/>
                <w:szCs w:val="19"/>
              </w:rPr>
              <w:t>5-Yr</w:t>
            </w:r>
          </w:p>
          <w:p w:rsidR="00182942" w:rsidRPr="00553BEE" w:rsidRDefault="00182942" w:rsidP="00553BEE">
            <w:pPr>
              <w:spacing w:after="0" w:line="240" w:lineRule="auto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b/>
                <w:bCs/>
                <w:sz w:val="19"/>
                <w:szCs w:val="19"/>
              </w:rPr>
              <w:t>Change</w:t>
            </w:r>
          </w:p>
        </w:tc>
        <w:tc>
          <w:tcPr>
            <w:tcW w:w="811" w:type="dxa"/>
            <w:tcBorders>
              <w:top w:val="single" w:sz="7" w:space="0" w:color="535353"/>
              <w:left w:val="single" w:sz="7" w:space="0" w:color="535353"/>
              <w:bottom w:val="single" w:sz="7" w:space="0" w:color="000000"/>
              <w:right w:val="single" w:sz="7" w:space="0" w:color="535353"/>
            </w:tcBorders>
            <w:shd w:val="clear" w:color="auto" w:fill="BDD6EE" w:themeFill="accent1" w:themeFillTint="66"/>
            <w:vAlign w:val="center"/>
          </w:tcPr>
          <w:p w:rsidR="00182942" w:rsidRPr="00553BEE" w:rsidRDefault="00182942" w:rsidP="00553BEE">
            <w:pPr>
              <w:spacing w:after="0" w:line="240" w:lineRule="auto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b/>
                <w:bCs/>
                <w:sz w:val="19"/>
                <w:szCs w:val="19"/>
              </w:rPr>
              <w:t>5-Yr %</w:t>
            </w:r>
          </w:p>
          <w:p w:rsidR="00182942" w:rsidRPr="00553BEE" w:rsidRDefault="00182942" w:rsidP="00553BEE">
            <w:pPr>
              <w:spacing w:after="0" w:line="240" w:lineRule="auto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b/>
                <w:bCs/>
                <w:sz w:val="19"/>
                <w:szCs w:val="19"/>
              </w:rPr>
              <w:t>Change</w:t>
            </w:r>
          </w:p>
        </w:tc>
        <w:tc>
          <w:tcPr>
            <w:tcW w:w="1140" w:type="dxa"/>
            <w:tcBorders>
              <w:top w:val="single" w:sz="7" w:space="0" w:color="535353"/>
              <w:left w:val="single" w:sz="7" w:space="0" w:color="535353"/>
              <w:bottom w:val="single" w:sz="7" w:space="0" w:color="000000"/>
              <w:right w:val="single" w:sz="7" w:space="0" w:color="535353"/>
            </w:tcBorders>
            <w:shd w:val="clear" w:color="auto" w:fill="BDD6EE" w:themeFill="accent1" w:themeFillTint="66"/>
            <w:vAlign w:val="center"/>
          </w:tcPr>
          <w:p w:rsidR="00182942" w:rsidRPr="00553BEE" w:rsidRDefault="00182942" w:rsidP="00553BEE">
            <w:pPr>
              <w:spacing w:after="0" w:line="240" w:lineRule="auto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b/>
                <w:bCs/>
                <w:sz w:val="19"/>
                <w:szCs w:val="19"/>
              </w:rPr>
              <w:t>5-Yr Re-</w:t>
            </w:r>
          </w:p>
          <w:p w:rsidR="00182942" w:rsidRPr="00553BEE" w:rsidRDefault="00182942" w:rsidP="00553BEE">
            <w:pPr>
              <w:spacing w:after="0" w:line="240" w:lineRule="auto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b/>
                <w:bCs/>
                <w:sz w:val="19"/>
                <w:szCs w:val="19"/>
              </w:rPr>
              <w:t>placements</w:t>
            </w:r>
          </w:p>
        </w:tc>
        <w:tc>
          <w:tcPr>
            <w:tcW w:w="999" w:type="dxa"/>
            <w:tcBorders>
              <w:top w:val="single" w:sz="7" w:space="0" w:color="535353"/>
              <w:left w:val="single" w:sz="7" w:space="0" w:color="535353"/>
              <w:bottom w:val="single" w:sz="7" w:space="0" w:color="000000"/>
              <w:right w:val="single" w:sz="7" w:space="0" w:color="535353"/>
            </w:tcBorders>
            <w:shd w:val="clear" w:color="auto" w:fill="BDD6EE" w:themeFill="accent1" w:themeFillTint="66"/>
            <w:vAlign w:val="center"/>
          </w:tcPr>
          <w:p w:rsidR="00182942" w:rsidRPr="00553BEE" w:rsidRDefault="00182942" w:rsidP="00553BEE">
            <w:pPr>
              <w:spacing w:after="0" w:line="240" w:lineRule="auto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b/>
                <w:bCs/>
                <w:sz w:val="19"/>
                <w:szCs w:val="19"/>
              </w:rPr>
              <w:t>Annual Openings</w:t>
            </w:r>
          </w:p>
        </w:tc>
      </w:tr>
      <w:tr w:rsidR="00553BEE" w:rsidRPr="00182942" w:rsidTr="00553BEE">
        <w:trPr>
          <w:trHeight w:hRule="exact" w:val="243"/>
        </w:trPr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13-1199</w:t>
            </w: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Business Operations Specialists, All Other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7,665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400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5%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109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189</w:t>
            </w:r>
          </w:p>
        </w:tc>
      </w:tr>
      <w:tr w:rsidR="00553BEE" w:rsidRPr="00182942" w:rsidTr="00553BEE">
        <w:trPr>
          <w:trHeight w:hRule="exact" w:val="241"/>
        </w:trPr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13-1151</w:t>
            </w: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Training and Development Specialists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1,271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159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13%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168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65</w:t>
            </w:r>
          </w:p>
        </w:tc>
      </w:tr>
      <w:tr w:rsidR="00553BEE" w:rsidRPr="00182942" w:rsidTr="00553BEE">
        <w:trPr>
          <w:trHeight w:hRule="exact" w:val="245"/>
        </w:trPr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13-1022</w:t>
            </w: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Wholesale and Retail Buyers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1,186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94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8%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208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60</w:t>
            </w:r>
          </w:p>
        </w:tc>
      </w:tr>
      <w:tr w:rsidR="00553BEE" w:rsidRPr="00182942" w:rsidTr="00553BEE">
        <w:trPr>
          <w:trHeight w:hRule="exact" w:val="520"/>
        </w:trPr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13-1023</w:t>
            </w: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Purchasing Agents, Except Wholesale, Retail and Farm Products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1,866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84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5%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275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72</w:t>
            </w:r>
          </w:p>
        </w:tc>
      </w:tr>
      <w:tr w:rsidR="00553BEE" w:rsidRPr="00182942" w:rsidTr="00553BEE">
        <w:trPr>
          <w:trHeight w:hRule="exact" w:val="243"/>
        </w:trPr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13-1051</w:t>
            </w: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Cost Estimators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2,668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68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3%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462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106</w:t>
            </w:r>
          </w:p>
        </w:tc>
      </w:tr>
      <w:tr w:rsidR="00553BEE" w:rsidRPr="00182942" w:rsidTr="00553BEE">
        <w:trPr>
          <w:trHeight w:hRule="exact" w:val="243"/>
        </w:trPr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13-1081</w:t>
            </w: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Logisticians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818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52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6%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66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24</w:t>
            </w:r>
          </w:p>
        </w:tc>
      </w:tr>
      <w:tr w:rsidR="00553BEE" w:rsidRPr="00182942" w:rsidTr="00553BEE">
        <w:trPr>
          <w:trHeight w:hRule="exact" w:val="243"/>
        </w:trPr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13-1031</w:t>
            </w: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Claims Adjusters, Examiners &amp; Investigators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2,250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43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2%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314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71</w:t>
            </w:r>
          </w:p>
        </w:tc>
      </w:tr>
      <w:tr w:rsidR="00553BEE" w:rsidRPr="00182942" w:rsidTr="00553BEE">
        <w:trPr>
          <w:trHeight w:hRule="exact" w:val="241"/>
        </w:trPr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13-1141</w:t>
            </w: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Compensation, Benefits &amp; Job Analysis Specialists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697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34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5%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88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24</w:t>
            </w:r>
          </w:p>
        </w:tc>
      </w:tr>
      <w:tr w:rsidR="00553BEE" w:rsidRPr="00182942" w:rsidTr="00553BEE">
        <w:trPr>
          <w:trHeight w:hRule="exact" w:val="243"/>
        </w:trPr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13-1199</w:t>
            </w: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Business Operations Specialists, All Other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7,665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400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5%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544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189</w:t>
            </w:r>
          </w:p>
        </w:tc>
      </w:tr>
      <w:tr w:rsidR="00553BEE" w:rsidRPr="00182942" w:rsidTr="00553BEE">
        <w:trPr>
          <w:trHeight w:hRule="exact" w:val="243"/>
        </w:trPr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13-2082</w:t>
            </w: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Tax Preparers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838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34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4%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123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31</w:t>
            </w:r>
          </w:p>
        </w:tc>
      </w:tr>
      <w:tr w:rsidR="00553BEE" w:rsidRPr="00182942" w:rsidTr="00553BEE">
        <w:trPr>
          <w:trHeight w:hRule="exact" w:val="243"/>
        </w:trPr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13-2021</w:t>
            </w: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Appraisers and Assessors of Real Estate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718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7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1%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88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19</w:t>
            </w:r>
          </w:p>
        </w:tc>
      </w:tr>
      <w:tr w:rsidR="00553BEE" w:rsidRPr="00182942" w:rsidTr="00553BEE">
        <w:trPr>
          <w:trHeight w:hRule="exact" w:val="243"/>
        </w:trPr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13-2071</w:t>
            </w: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Credit Counselors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292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6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2%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32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8</w:t>
            </w:r>
          </w:p>
        </w:tc>
      </w:tr>
      <w:tr w:rsidR="00553BEE" w:rsidRPr="00182942" w:rsidTr="00553BEE">
        <w:trPr>
          <w:trHeight w:hRule="exact" w:val="243"/>
        </w:trPr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13-1032</w:t>
            </w: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Insurance Appraisers, Auto Damage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52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1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2%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proofErr w:type="spellStart"/>
            <w:r w:rsidRPr="00553BEE">
              <w:rPr>
                <w:rFonts w:ascii="Segoe UI" w:hAnsi="Segoe UI" w:cs="Segoe UI"/>
                <w:sz w:val="19"/>
                <w:szCs w:val="19"/>
              </w:rPr>
              <w:t>Insf</w:t>
            </w:r>
            <w:proofErr w:type="spellEnd"/>
            <w:r w:rsidRPr="00553BEE">
              <w:rPr>
                <w:rFonts w:ascii="Segoe UI" w:hAnsi="Segoe UI" w:cs="Segoe UI"/>
                <w:sz w:val="19"/>
                <w:szCs w:val="19"/>
              </w:rPr>
              <w:t>. Data</w:t>
            </w:r>
          </w:p>
        </w:tc>
      </w:tr>
      <w:tr w:rsidR="00553BEE" w:rsidRPr="00182942" w:rsidTr="00553BEE">
        <w:trPr>
          <w:trHeight w:hRule="exact" w:val="242"/>
        </w:trPr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13-2081</w:t>
            </w: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Tax Examiners and Collectors &amp; Revenue Agents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1,914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(21)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(1%)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409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82</w:t>
            </w:r>
          </w:p>
        </w:tc>
      </w:tr>
      <w:tr w:rsidR="00553BEE" w:rsidRPr="00182942" w:rsidTr="00553BEE">
        <w:trPr>
          <w:trHeight w:hRule="exact" w:val="242"/>
        </w:trPr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13-2072</w:t>
            </w: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Loan Officers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1,446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(77)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(5%)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151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sz w:val="19"/>
                <w:szCs w:val="19"/>
              </w:rPr>
              <w:t>30</w:t>
            </w:r>
          </w:p>
        </w:tc>
      </w:tr>
      <w:tr w:rsidR="00553BEE" w:rsidRPr="00182942" w:rsidTr="00553BEE">
        <w:trPr>
          <w:trHeight w:hRule="exact" w:val="243"/>
        </w:trPr>
        <w:tc>
          <w:tcPr>
            <w:tcW w:w="49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b/>
                <w:bCs/>
                <w:sz w:val="19"/>
                <w:szCs w:val="19"/>
              </w:rPr>
              <w:lastRenderedPageBreak/>
              <w:t>Total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b/>
                <w:bCs/>
                <w:sz w:val="19"/>
                <w:szCs w:val="19"/>
              </w:rPr>
              <w:t>31,347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b/>
                <w:bCs/>
                <w:sz w:val="19"/>
                <w:szCs w:val="19"/>
              </w:rPr>
              <w:t>1,284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b/>
                <w:bCs/>
                <w:sz w:val="19"/>
                <w:szCs w:val="19"/>
              </w:rPr>
              <w:t>4%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b/>
                <w:bCs/>
                <w:sz w:val="19"/>
                <w:szCs w:val="19"/>
              </w:rPr>
              <w:t>3,036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942" w:rsidRPr="00553BEE" w:rsidRDefault="00182942" w:rsidP="00553BEE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553BEE">
              <w:rPr>
                <w:rFonts w:ascii="Segoe UI" w:hAnsi="Segoe UI" w:cs="Segoe UI"/>
                <w:b/>
                <w:bCs/>
                <w:sz w:val="19"/>
                <w:szCs w:val="19"/>
              </w:rPr>
              <w:t>971</w:t>
            </w:r>
          </w:p>
        </w:tc>
      </w:tr>
    </w:tbl>
    <w:p w:rsidR="00553BEE" w:rsidRDefault="00F57354" w:rsidP="00553BEE">
      <w:pPr>
        <w:jc w:val="both"/>
        <w:rPr>
          <w:rFonts w:ascii="Segoe UI" w:hAnsi="Segoe UI" w:cs="Segoe UI"/>
        </w:rPr>
      </w:pPr>
      <w:bookmarkStart w:id="3" w:name="Business_and_Financial_Operations_Occupa"/>
      <w:bookmarkStart w:id="4" w:name="bookmark0"/>
      <w:bookmarkEnd w:id="3"/>
      <w:bookmarkEnd w:id="4"/>
      <w:r>
        <w:rPr>
          <w:rFonts w:ascii="Segoe UI" w:hAnsi="Segoe UI" w:cs="Segoe UI"/>
        </w:rPr>
        <w:t>Regional L</w:t>
      </w:r>
      <w:r w:rsidR="00553BEE">
        <w:rPr>
          <w:rFonts w:ascii="Segoe UI" w:hAnsi="Segoe UI" w:cs="Segoe UI"/>
        </w:rPr>
        <w:t>abor Market Assessment</w:t>
      </w:r>
      <w:r>
        <w:rPr>
          <w:rStyle w:val="FootnoteReference"/>
          <w:rFonts w:ascii="Segoe UI" w:hAnsi="Segoe UI" w:cs="Segoe UI"/>
        </w:rPr>
        <w:footnoteReference w:id="4"/>
      </w:r>
      <w:r w:rsidR="00553BEE">
        <w:rPr>
          <w:rFonts w:ascii="Segoe UI" w:hAnsi="Segoe UI" w:cs="Segoe UI"/>
        </w:rPr>
        <w:t xml:space="preserve">: </w:t>
      </w:r>
    </w:p>
    <w:p w:rsidR="0049444E" w:rsidRPr="00F57354" w:rsidRDefault="0049444E" w:rsidP="00F57354">
      <w:pPr>
        <w:ind w:left="432" w:right="432"/>
        <w:jc w:val="both"/>
        <w:rPr>
          <w:rFonts w:ascii="Segoe UI" w:hAnsi="Segoe UI" w:cs="Segoe UI"/>
          <w:i/>
        </w:rPr>
      </w:pPr>
      <w:r w:rsidRPr="00F57354">
        <w:rPr>
          <w:rFonts w:ascii="Segoe UI" w:hAnsi="Segoe UI" w:cs="Segoe UI"/>
          <w:i/>
        </w:rPr>
        <w:t xml:space="preserve">Replacement estimates include retirements and general separations, but not turnover within the occupation. As such, job openings, a combination of replacements and new job growth, is a good measure of demand for </w:t>
      </w:r>
      <w:proofErr w:type="spellStart"/>
      <w:r w:rsidRPr="00F57354">
        <w:rPr>
          <w:rFonts w:ascii="Segoe UI" w:hAnsi="Segoe UI" w:cs="Segoe UI"/>
          <w:i/>
        </w:rPr>
        <w:t>workers.Business</w:t>
      </w:r>
      <w:proofErr w:type="spellEnd"/>
      <w:r w:rsidRPr="00F57354">
        <w:rPr>
          <w:rFonts w:ascii="Segoe UI" w:hAnsi="Segoe UI" w:cs="Segoe UI"/>
          <w:i/>
        </w:rPr>
        <w:t xml:space="preserve"> operations specialist (all other) is the largest occupation with the most projected job openings, followed by training development specialist, and wholesale and retail buyer (except farm products).</w:t>
      </w:r>
    </w:p>
    <w:p w:rsidR="00CB7059" w:rsidRDefault="009813F9" w:rsidP="009813F9">
      <w:pPr>
        <w:jc w:val="both"/>
        <w:rPr>
          <w:rFonts w:ascii="Segoe UI" w:eastAsia="Calibri" w:hAnsi="Segoe UI" w:cs="Segoe UI"/>
        </w:rPr>
      </w:pPr>
      <w:r w:rsidRPr="00F57354">
        <w:rPr>
          <w:rFonts w:ascii="Segoe UI" w:eastAsia="Calibri" w:hAnsi="Segoe UI" w:cs="Segoe UI"/>
          <w:b/>
        </w:rPr>
        <w:t xml:space="preserve">The </w:t>
      </w:r>
      <w:r w:rsidR="00CB7059" w:rsidRPr="00F57354">
        <w:rPr>
          <w:rFonts w:ascii="Segoe UI" w:eastAsia="Calibri" w:hAnsi="Segoe UI" w:cs="Segoe UI"/>
          <w:b/>
        </w:rPr>
        <w:t>Community College Chancellor’s Office Small Business Sector profile</w:t>
      </w:r>
      <w:r w:rsidR="00CB7059">
        <w:rPr>
          <w:rStyle w:val="FootnoteReference"/>
          <w:rFonts w:ascii="Segoe UI" w:eastAsia="Calibri" w:hAnsi="Segoe UI" w:cs="Segoe UI"/>
        </w:rPr>
        <w:footnoteReference w:id="5"/>
      </w:r>
      <w:r w:rsidR="00F57354">
        <w:rPr>
          <w:rFonts w:ascii="Segoe UI" w:eastAsia="Calibri" w:hAnsi="Segoe UI" w:cs="Segoe UI"/>
        </w:rPr>
        <w:t xml:space="preserve"> echoes the positive findings</w:t>
      </w:r>
      <w:r w:rsidR="00FA75D3">
        <w:rPr>
          <w:rFonts w:ascii="Segoe UI" w:eastAsia="Calibri" w:hAnsi="Segoe UI" w:cs="Segoe UI"/>
        </w:rPr>
        <w:t>, specifically for the entrepreneurial sector</w:t>
      </w:r>
      <w:r w:rsidR="0049444E">
        <w:rPr>
          <w:rFonts w:ascii="Segoe UI" w:eastAsia="Calibri" w:hAnsi="Segoe UI" w:cs="Segoe UI"/>
        </w:rPr>
        <w:t xml:space="preserve"> within all of California. </w:t>
      </w:r>
      <w:r w:rsidR="0049444E">
        <w:rPr>
          <w:rFonts w:ascii="Segoe UI" w:eastAsia="Calibri" w:hAnsi="Segoe UI" w:cs="Segoe UI"/>
          <w:b/>
        </w:rPr>
        <w:t>Top 5 Small B</w:t>
      </w:r>
      <w:r w:rsidR="00CB7059" w:rsidRPr="0049444E">
        <w:rPr>
          <w:rFonts w:ascii="Segoe UI" w:eastAsia="Calibri" w:hAnsi="Segoe UI" w:cs="Segoe UI"/>
          <w:b/>
        </w:rPr>
        <w:t xml:space="preserve">usiness </w:t>
      </w:r>
      <w:r w:rsidR="0049444E">
        <w:rPr>
          <w:rFonts w:ascii="Segoe UI" w:eastAsia="Calibri" w:hAnsi="Segoe UI" w:cs="Segoe UI"/>
          <w:b/>
        </w:rPr>
        <w:t>I</w:t>
      </w:r>
      <w:r w:rsidR="00CB7059" w:rsidRPr="0049444E">
        <w:rPr>
          <w:rFonts w:ascii="Segoe UI" w:eastAsia="Calibri" w:hAnsi="Segoe UI" w:cs="Segoe UI"/>
          <w:b/>
        </w:rPr>
        <w:t xml:space="preserve">ndustry </w:t>
      </w:r>
      <w:r w:rsidR="0049444E">
        <w:rPr>
          <w:rFonts w:ascii="Segoe UI" w:eastAsia="Calibri" w:hAnsi="Segoe UI" w:cs="Segoe UI"/>
          <w:b/>
        </w:rPr>
        <w:t>S</w:t>
      </w:r>
      <w:r w:rsidR="00CB7059" w:rsidRPr="0049444E">
        <w:rPr>
          <w:rFonts w:ascii="Segoe UI" w:eastAsia="Calibri" w:hAnsi="Segoe UI" w:cs="Segoe UI"/>
          <w:b/>
        </w:rPr>
        <w:t>egments</w:t>
      </w:r>
      <w:r w:rsidR="0049444E" w:rsidRPr="0049444E">
        <w:rPr>
          <w:rFonts w:ascii="Segoe UI" w:eastAsia="Calibri" w:hAnsi="Segoe UI" w:cs="Segoe UI"/>
          <w:b/>
        </w:rPr>
        <w:t xml:space="preserve"> (</w:t>
      </w:r>
      <w:r w:rsidRPr="0049444E">
        <w:rPr>
          <w:rFonts w:ascii="Segoe UI" w:eastAsia="Calibri" w:hAnsi="Segoe UI" w:cs="Segoe UI"/>
          <w:b/>
        </w:rPr>
        <w:t>California</w:t>
      </w:r>
      <w:r w:rsidR="0049444E" w:rsidRPr="0049444E">
        <w:rPr>
          <w:rFonts w:ascii="Segoe UI" w:eastAsia="Calibri" w:hAnsi="Segoe UI" w:cs="Segoe UI"/>
          <w:b/>
        </w:rPr>
        <w:t>)</w:t>
      </w:r>
      <w:r w:rsidR="00CB7059" w:rsidRPr="0049444E">
        <w:rPr>
          <w:rFonts w:ascii="Segoe UI" w:eastAsia="Calibri" w:hAnsi="Segoe UI" w:cs="Segoe UI"/>
          <w:b/>
        </w:rPr>
        <w:t xml:space="preserve">: </w:t>
      </w:r>
    </w:p>
    <w:p w:rsidR="00F57354" w:rsidRDefault="00CB7059" w:rsidP="00F57354">
      <w:pPr>
        <w:jc w:val="center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  <w:noProof/>
        </w:rPr>
        <w:drawing>
          <wp:inline distT="0" distB="0" distL="0" distR="0">
            <wp:extent cx="5543550" cy="2743200"/>
            <wp:effectExtent l="38100" t="0" r="3810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A75D3" w:rsidRPr="00F57354" w:rsidRDefault="00FA75D3" w:rsidP="00F57354">
      <w:pPr>
        <w:rPr>
          <w:rFonts w:ascii="Segoe UI" w:eastAsia="Calibri" w:hAnsi="Segoe UI" w:cs="Segoe UI"/>
        </w:rPr>
      </w:pPr>
      <w:r w:rsidRPr="00FA75D3">
        <w:rPr>
          <w:rFonts w:ascii="Segoe UI" w:hAnsi="Segoe UI" w:cs="Segoe UI"/>
          <w:color w:val="221E1F"/>
        </w:rPr>
        <w:t>The profile adds</w:t>
      </w:r>
      <w:r w:rsidR="0049444E">
        <w:rPr>
          <w:rStyle w:val="FootnoteReference"/>
          <w:rFonts w:ascii="Segoe UI" w:hAnsi="Segoe UI" w:cs="Segoe UI"/>
          <w:color w:val="221E1F"/>
        </w:rPr>
        <w:footnoteReference w:id="6"/>
      </w:r>
      <w:r w:rsidRPr="00FA75D3">
        <w:rPr>
          <w:rFonts w:ascii="Segoe UI" w:hAnsi="Segoe UI" w:cs="Segoe UI"/>
          <w:color w:val="221E1F"/>
        </w:rPr>
        <w:t xml:space="preserve">: </w:t>
      </w:r>
    </w:p>
    <w:p w:rsidR="00015638" w:rsidRPr="00F57354" w:rsidRDefault="00FA75D3" w:rsidP="00F57354">
      <w:pPr>
        <w:ind w:left="432" w:right="576"/>
        <w:jc w:val="both"/>
        <w:rPr>
          <w:rFonts w:ascii="Segoe UI" w:eastAsia="Calibri" w:hAnsi="Segoe UI" w:cs="Segoe UI"/>
          <w:i/>
        </w:rPr>
      </w:pPr>
      <w:r w:rsidRPr="00F57354">
        <w:rPr>
          <w:rFonts w:ascii="Segoe UI" w:hAnsi="Segoe UI" w:cs="Segoe UI"/>
          <w:i/>
          <w:color w:val="221E1F"/>
        </w:rPr>
        <w:t>Professional, technical, and scientific services accounts for 15% of small businesses in California alone. Within the professional services industry, the top specific small business types are: (1) Administrative management and general management consulting; (2) Custom com</w:t>
      </w:r>
      <w:r w:rsidRPr="00F57354">
        <w:rPr>
          <w:rFonts w:ascii="Segoe UI" w:hAnsi="Segoe UI" w:cs="Segoe UI"/>
          <w:i/>
          <w:color w:val="221E1F"/>
        </w:rPr>
        <w:softHyphen/>
        <w:t>puter programming services; (3) Engineering services; (4) Offices of lawyers; and (5) Computer systems design services.</w:t>
      </w:r>
    </w:p>
    <w:p w:rsidR="00F57354" w:rsidRPr="00F57354" w:rsidRDefault="005E1C38" w:rsidP="00F57354">
      <w:pPr>
        <w:spacing w:after="0" w:line="240" w:lineRule="auto"/>
        <w:rPr>
          <w:rFonts w:ascii="Segoe UI" w:hAnsi="Segoe UI" w:cs="Segoe UI"/>
          <w:b/>
        </w:rPr>
      </w:pPr>
      <w:r w:rsidRPr="00F57354">
        <w:rPr>
          <w:rFonts w:ascii="Segoe UI" w:hAnsi="Segoe UI" w:cs="Segoe UI"/>
          <w:b/>
        </w:rPr>
        <w:t>Wages</w:t>
      </w:r>
      <w:r w:rsidR="00F57354" w:rsidRPr="00F57354">
        <w:rPr>
          <w:rFonts w:ascii="Segoe UI" w:hAnsi="Segoe UI" w:cs="Segoe UI"/>
          <w:b/>
        </w:rPr>
        <w:t xml:space="preserve"> Regional Data</w:t>
      </w:r>
      <w:r w:rsidR="005555D2" w:rsidRPr="00F57354">
        <w:rPr>
          <w:rFonts w:ascii="Segoe UI" w:hAnsi="Segoe UI" w:cs="Segoe UI"/>
          <w:b/>
        </w:rPr>
        <w:t xml:space="preserve">: </w:t>
      </w:r>
    </w:p>
    <w:p w:rsidR="00F57354" w:rsidRDefault="00F57354" w:rsidP="00F57354">
      <w:pPr>
        <w:spacing w:after="0" w:line="240" w:lineRule="auto"/>
        <w:rPr>
          <w:rFonts w:ascii="Segoe UI" w:hAnsi="Segoe UI" w:cs="Segoe UI"/>
          <w:color w:val="000000"/>
        </w:rPr>
      </w:pPr>
      <w:r w:rsidRPr="00F57354">
        <w:rPr>
          <w:rFonts w:ascii="Segoe UI" w:hAnsi="Segoe UI" w:cs="Segoe UI"/>
          <w:color w:val="000000"/>
        </w:rPr>
        <w:t xml:space="preserve">The Regional Labor Market Assessment for the Central Valley/Mother Lode </w:t>
      </w:r>
      <w:proofErr w:type="gramStart"/>
      <w:r w:rsidRPr="00F57354">
        <w:rPr>
          <w:rFonts w:ascii="Segoe UI" w:hAnsi="Segoe UI" w:cs="Segoe UI"/>
          <w:color w:val="000000"/>
        </w:rPr>
        <w:t>Region,</w:t>
      </w:r>
      <w:proofErr w:type="gramEnd"/>
      <w:r w:rsidRPr="00F57354">
        <w:rPr>
          <w:rFonts w:ascii="Segoe UI" w:hAnsi="Segoe UI" w:cs="Segoe UI"/>
          <w:color w:val="000000"/>
        </w:rPr>
        <w:t xml:space="preserve"> explains that the living wage for one adult is $10.64 per hour. The entry-level wages for all 14 of the business and financial operations occupations exceed the average living wage for one adult. </w:t>
      </w:r>
      <w:proofErr w:type="gramStart"/>
      <w:r w:rsidR="005F5AFD">
        <w:rPr>
          <w:rFonts w:ascii="Segoe UI" w:hAnsi="Segoe UI" w:cs="Segoe UI"/>
          <w:color w:val="000000"/>
        </w:rPr>
        <w:t>With the lowest entry-level starting at $12.06 for Tax Preparers and highest Logisticians at $21.94.</w:t>
      </w:r>
      <w:proofErr w:type="gramEnd"/>
      <w:r w:rsidR="005F5AFD">
        <w:rPr>
          <w:rFonts w:ascii="Segoe UI" w:hAnsi="Segoe UI" w:cs="Segoe UI"/>
          <w:color w:val="000000"/>
        </w:rPr>
        <w:t xml:space="preserve"> </w:t>
      </w:r>
    </w:p>
    <w:p w:rsidR="005F5AFD" w:rsidRDefault="005F5AFD" w:rsidP="00F57354">
      <w:pPr>
        <w:spacing w:after="0" w:line="240" w:lineRule="auto"/>
        <w:rPr>
          <w:rFonts w:ascii="Segoe UI" w:hAnsi="Segoe UI" w:cs="Segoe UI"/>
          <w:color w:val="000000"/>
        </w:rPr>
      </w:pPr>
    </w:p>
    <w:tbl>
      <w:tblPr>
        <w:tblW w:w="94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0"/>
        <w:gridCol w:w="2204"/>
        <w:gridCol w:w="2068"/>
      </w:tblGrid>
      <w:tr w:rsidR="005F5AFD" w:rsidRPr="005F5AFD" w:rsidTr="005F5AFD">
        <w:trPr>
          <w:trHeight w:val="139"/>
        </w:trPr>
        <w:tc>
          <w:tcPr>
            <w:tcW w:w="5130" w:type="dxa"/>
            <w:shd w:val="clear" w:color="auto" w:fill="ACB9CA" w:themeFill="text2" w:themeFillTint="66"/>
          </w:tcPr>
          <w:p w:rsidR="005F5AFD" w:rsidRPr="005F5AFD" w:rsidRDefault="005F5AFD" w:rsidP="005F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color w:val="000000"/>
              </w:rPr>
            </w:pPr>
            <w:r w:rsidRPr="005F5AFD">
              <w:rPr>
                <w:rFonts w:ascii="Segoe UI" w:hAnsi="Segoe UI" w:cs="Segoe UI"/>
                <w:b/>
                <w:color w:val="000000"/>
              </w:rPr>
              <w:t>Occupation</w:t>
            </w:r>
            <w:r w:rsidRPr="005F5AFD">
              <w:rPr>
                <w:rStyle w:val="FootnoteReference"/>
                <w:rFonts w:ascii="Segoe UI" w:hAnsi="Segoe UI" w:cs="Segoe UI"/>
                <w:b/>
                <w:color w:val="000000"/>
              </w:rPr>
              <w:footnoteReference w:id="7"/>
            </w:r>
            <w:r w:rsidRPr="005F5AFD">
              <w:rPr>
                <w:rFonts w:ascii="Segoe UI" w:hAnsi="Segoe UI" w:cs="Segoe UI"/>
                <w:b/>
                <w:color w:val="000000"/>
              </w:rPr>
              <w:t xml:space="preserve">: </w:t>
            </w:r>
          </w:p>
        </w:tc>
        <w:tc>
          <w:tcPr>
            <w:tcW w:w="2204" w:type="dxa"/>
            <w:shd w:val="clear" w:color="auto" w:fill="ACB9CA" w:themeFill="text2" w:themeFillTint="66"/>
          </w:tcPr>
          <w:p w:rsidR="005F5AFD" w:rsidRPr="005F5AFD" w:rsidRDefault="005F5AFD" w:rsidP="005F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color w:val="000000"/>
              </w:rPr>
            </w:pPr>
            <w:r w:rsidRPr="005F5AFD">
              <w:rPr>
                <w:rFonts w:ascii="Segoe UI" w:hAnsi="Segoe UI" w:cs="Segoe UI"/>
                <w:b/>
                <w:color w:val="000000"/>
              </w:rPr>
              <w:t xml:space="preserve">Entry-Level (Pct. 10 Hourly) </w:t>
            </w:r>
          </w:p>
        </w:tc>
        <w:tc>
          <w:tcPr>
            <w:tcW w:w="2068" w:type="dxa"/>
            <w:shd w:val="clear" w:color="auto" w:fill="ACB9CA" w:themeFill="text2" w:themeFillTint="66"/>
          </w:tcPr>
          <w:p w:rsidR="005F5AFD" w:rsidRPr="005F5AFD" w:rsidRDefault="005F5AFD" w:rsidP="005F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color w:val="000000"/>
              </w:rPr>
            </w:pPr>
            <w:r w:rsidRPr="005F5AFD">
              <w:rPr>
                <w:rFonts w:ascii="Segoe UI" w:hAnsi="Segoe UI" w:cs="Segoe UI"/>
                <w:b/>
                <w:color w:val="000000"/>
              </w:rPr>
              <w:t xml:space="preserve">Experience Wages, Median Hourly:  </w:t>
            </w:r>
          </w:p>
        </w:tc>
      </w:tr>
      <w:tr w:rsidR="005F5AFD" w:rsidRPr="005F5AFD" w:rsidTr="005F5AFD">
        <w:trPr>
          <w:trHeight w:val="139"/>
        </w:trPr>
        <w:tc>
          <w:tcPr>
            <w:tcW w:w="5130" w:type="dxa"/>
          </w:tcPr>
          <w:p w:rsidR="005F5AFD" w:rsidRPr="005F5AFD" w:rsidRDefault="005F5AFD" w:rsidP="005F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5F5AFD">
              <w:rPr>
                <w:rFonts w:ascii="Segoe UI" w:hAnsi="Segoe UI" w:cs="Segoe UI"/>
                <w:color w:val="000000"/>
              </w:rPr>
              <w:t xml:space="preserve">Wholesale and Retail Buyers, Except Farm Products </w:t>
            </w:r>
          </w:p>
        </w:tc>
        <w:tc>
          <w:tcPr>
            <w:tcW w:w="2204" w:type="dxa"/>
          </w:tcPr>
          <w:p w:rsidR="005F5AFD" w:rsidRPr="005F5AFD" w:rsidRDefault="005F5AFD" w:rsidP="005F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5F5AFD">
              <w:rPr>
                <w:rFonts w:ascii="Segoe UI" w:hAnsi="Segoe UI" w:cs="Segoe UI"/>
                <w:color w:val="000000"/>
              </w:rPr>
              <w:t xml:space="preserve">$16.10 </w:t>
            </w:r>
          </w:p>
        </w:tc>
        <w:tc>
          <w:tcPr>
            <w:tcW w:w="2068" w:type="dxa"/>
          </w:tcPr>
          <w:p w:rsidR="005F5AFD" w:rsidRPr="005F5AFD" w:rsidRDefault="005F5AFD" w:rsidP="005F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5F5AFD">
              <w:rPr>
                <w:rFonts w:ascii="Segoe UI" w:hAnsi="Segoe UI" w:cs="Segoe UI"/>
                <w:color w:val="000000"/>
              </w:rPr>
              <w:t xml:space="preserve">$22.62 </w:t>
            </w:r>
          </w:p>
        </w:tc>
      </w:tr>
      <w:tr w:rsidR="005F5AFD" w:rsidRPr="005F5AFD" w:rsidTr="005F5AFD">
        <w:trPr>
          <w:trHeight w:val="139"/>
        </w:trPr>
        <w:tc>
          <w:tcPr>
            <w:tcW w:w="5130" w:type="dxa"/>
          </w:tcPr>
          <w:p w:rsidR="005F5AFD" w:rsidRPr="005F5AFD" w:rsidRDefault="005F5AFD" w:rsidP="005F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5F5AFD">
              <w:rPr>
                <w:rFonts w:ascii="Segoe UI" w:hAnsi="Segoe UI" w:cs="Segoe UI"/>
                <w:color w:val="000000"/>
              </w:rPr>
              <w:t xml:space="preserve">Purchasing Agents, Except Wholesale, Retail &amp; Farm Products </w:t>
            </w:r>
          </w:p>
        </w:tc>
        <w:tc>
          <w:tcPr>
            <w:tcW w:w="2204" w:type="dxa"/>
          </w:tcPr>
          <w:p w:rsidR="005F5AFD" w:rsidRPr="005F5AFD" w:rsidRDefault="005F5AFD" w:rsidP="005F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5F5AFD">
              <w:rPr>
                <w:rFonts w:ascii="Segoe UI" w:hAnsi="Segoe UI" w:cs="Segoe UI"/>
                <w:color w:val="000000"/>
              </w:rPr>
              <w:t xml:space="preserve">$18.06 </w:t>
            </w:r>
          </w:p>
        </w:tc>
        <w:tc>
          <w:tcPr>
            <w:tcW w:w="2068" w:type="dxa"/>
          </w:tcPr>
          <w:p w:rsidR="005F5AFD" w:rsidRPr="005F5AFD" w:rsidRDefault="005F5AFD" w:rsidP="005F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5F5AFD">
              <w:rPr>
                <w:rFonts w:ascii="Segoe UI" w:hAnsi="Segoe UI" w:cs="Segoe UI"/>
                <w:color w:val="000000"/>
              </w:rPr>
              <w:t xml:space="preserve">$29.32 </w:t>
            </w:r>
          </w:p>
        </w:tc>
      </w:tr>
      <w:tr w:rsidR="005F5AFD" w:rsidRPr="005F5AFD" w:rsidTr="005F5AFD">
        <w:trPr>
          <w:trHeight w:val="139"/>
        </w:trPr>
        <w:tc>
          <w:tcPr>
            <w:tcW w:w="5130" w:type="dxa"/>
          </w:tcPr>
          <w:p w:rsidR="005F5AFD" w:rsidRPr="005F5AFD" w:rsidRDefault="005F5AFD" w:rsidP="005F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5F5AFD">
              <w:rPr>
                <w:rFonts w:ascii="Segoe UI" w:hAnsi="Segoe UI" w:cs="Segoe UI"/>
                <w:color w:val="000000"/>
              </w:rPr>
              <w:t xml:space="preserve">Claims Adjusters, Examiners, and Investigators </w:t>
            </w:r>
          </w:p>
        </w:tc>
        <w:tc>
          <w:tcPr>
            <w:tcW w:w="2204" w:type="dxa"/>
          </w:tcPr>
          <w:p w:rsidR="005F5AFD" w:rsidRPr="005F5AFD" w:rsidRDefault="005F5AFD" w:rsidP="005F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5F5AFD">
              <w:rPr>
                <w:rFonts w:ascii="Segoe UI" w:hAnsi="Segoe UI" w:cs="Segoe UI"/>
                <w:color w:val="000000"/>
              </w:rPr>
              <w:t xml:space="preserve">$17.92 </w:t>
            </w:r>
          </w:p>
        </w:tc>
        <w:tc>
          <w:tcPr>
            <w:tcW w:w="2068" w:type="dxa"/>
          </w:tcPr>
          <w:p w:rsidR="005F5AFD" w:rsidRPr="005F5AFD" w:rsidRDefault="005F5AFD" w:rsidP="005F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5F5AFD">
              <w:rPr>
                <w:rFonts w:ascii="Segoe UI" w:hAnsi="Segoe UI" w:cs="Segoe UI"/>
                <w:color w:val="000000"/>
              </w:rPr>
              <w:t xml:space="preserve">$29.61 </w:t>
            </w:r>
          </w:p>
        </w:tc>
      </w:tr>
      <w:tr w:rsidR="005F5AFD" w:rsidRPr="005F5AFD" w:rsidTr="005F5AFD">
        <w:trPr>
          <w:trHeight w:val="139"/>
        </w:trPr>
        <w:tc>
          <w:tcPr>
            <w:tcW w:w="5130" w:type="dxa"/>
          </w:tcPr>
          <w:p w:rsidR="005F5AFD" w:rsidRPr="005F5AFD" w:rsidRDefault="005F5AFD" w:rsidP="005F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5F5AFD">
              <w:rPr>
                <w:rFonts w:ascii="Segoe UI" w:hAnsi="Segoe UI" w:cs="Segoe UI"/>
                <w:color w:val="000000"/>
              </w:rPr>
              <w:t xml:space="preserve">Insurance Appraisers, Auto Damage </w:t>
            </w:r>
          </w:p>
        </w:tc>
        <w:tc>
          <w:tcPr>
            <w:tcW w:w="2204" w:type="dxa"/>
          </w:tcPr>
          <w:p w:rsidR="005F5AFD" w:rsidRPr="005F5AFD" w:rsidRDefault="005F5AFD" w:rsidP="005F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5F5AFD">
              <w:rPr>
                <w:rFonts w:ascii="Segoe UI" w:hAnsi="Segoe UI" w:cs="Segoe UI"/>
                <w:color w:val="000000"/>
              </w:rPr>
              <w:t xml:space="preserve">$20.26 </w:t>
            </w:r>
          </w:p>
        </w:tc>
        <w:tc>
          <w:tcPr>
            <w:tcW w:w="2068" w:type="dxa"/>
          </w:tcPr>
          <w:p w:rsidR="005F5AFD" w:rsidRPr="005F5AFD" w:rsidRDefault="005F5AFD" w:rsidP="005F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5F5AFD">
              <w:rPr>
                <w:rFonts w:ascii="Segoe UI" w:hAnsi="Segoe UI" w:cs="Segoe UI"/>
                <w:color w:val="000000"/>
              </w:rPr>
              <w:t xml:space="preserve">$27.06 </w:t>
            </w:r>
          </w:p>
        </w:tc>
      </w:tr>
      <w:tr w:rsidR="005F5AFD" w:rsidRPr="005F5AFD" w:rsidTr="005F5AFD">
        <w:trPr>
          <w:trHeight w:val="139"/>
        </w:trPr>
        <w:tc>
          <w:tcPr>
            <w:tcW w:w="5130" w:type="dxa"/>
          </w:tcPr>
          <w:p w:rsidR="005F5AFD" w:rsidRPr="005F5AFD" w:rsidRDefault="005F5AFD" w:rsidP="005F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5F5AFD">
              <w:rPr>
                <w:rFonts w:ascii="Segoe UI" w:hAnsi="Segoe UI" w:cs="Segoe UI"/>
                <w:color w:val="000000"/>
              </w:rPr>
              <w:t xml:space="preserve">Cost Estimators </w:t>
            </w:r>
          </w:p>
        </w:tc>
        <w:tc>
          <w:tcPr>
            <w:tcW w:w="2204" w:type="dxa"/>
          </w:tcPr>
          <w:p w:rsidR="005F5AFD" w:rsidRPr="005F5AFD" w:rsidRDefault="005F5AFD" w:rsidP="005F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5F5AFD">
              <w:rPr>
                <w:rFonts w:ascii="Segoe UI" w:hAnsi="Segoe UI" w:cs="Segoe UI"/>
                <w:color w:val="000000"/>
              </w:rPr>
              <w:t xml:space="preserve">$15.11 </w:t>
            </w:r>
          </w:p>
        </w:tc>
        <w:tc>
          <w:tcPr>
            <w:tcW w:w="2068" w:type="dxa"/>
          </w:tcPr>
          <w:p w:rsidR="005F5AFD" w:rsidRPr="005F5AFD" w:rsidRDefault="005F5AFD" w:rsidP="005F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5F5AFD">
              <w:rPr>
                <w:rFonts w:ascii="Segoe UI" w:hAnsi="Segoe UI" w:cs="Segoe UI"/>
                <w:color w:val="000000"/>
              </w:rPr>
              <w:t xml:space="preserve">$26.12 </w:t>
            </w:r>
          </w:p>
        </w:tc>
      </w:tr>
      <w:tr w:rsidR="005F5AFD" w:rsidRPr="005F5AFD" w:rsidTr="005F5AFD">
        <w:trPr>
          <w:trHeight w:val="139"/>
        </w:trPr>
        <w:tc>
          <w:tcPr>
            <w:tcW w:w="5130" w:type="dxa"/>
            <w:shd w:val="clear" w:color="auto" w:fill="D5DCE4" w:themeFill="text2" w:themeFillTint="33"/>
          </w:tcPr>
          <w:p w:rsidR="005F5AFD" w:rsidRPr="005F5AFD" w:rsidRDefault="005F5AFD" w:rsidP="005F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5F5AFD">
              <w:rPr>
                <w:rFonts w:ascii="Segoe UI" w:hAnsi="Segoe UI" w:cs="Segoe UI"/>
                <w:color w:val="000000"/>
              </w:rPr>
              <w:t xml:space="preserve">Logisticians </w:t>
            </w:r>
          </w:p>
        </w:tc>
        <w:tc>
          <w:tcPr>
            <w:tcW w:w="2204" w:type="dxa"/>
            <w:shd w:val="clear" w:color="auto" w:fill="D5DCE4" w:themeFill="text2" w:themeFillTint="33"/>
          </w:tcPr>
          <w:p w:rsidR="005F5AFD" w:rsidRPr="005F5AFD" w:rsidRDefault="005F5AFD" w:rsidP="005F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5F5AFD">
              <w:rPr>
                <w:rFonts w:ascii="Segoe UI" w:hAnsi="Segoe UI" w:cs="Segoe UI"/>
                <w:color w:val="000000"/>
              </w:rPr>
              <w:t xml:space="preserve">$21.94 </w:t>
            </w:r>
          </w:p>
        </w:tc>
        <w:tc>
          <w:tcPr>
            <w:tcW w:w="2068" w:type="dxa"/>
            <w:shd w:val="clear" w:color="auto" w:fill="D5DCE4" w:themeFill="text2" w:themeFillTint="33"/>
          </w:tcPr>
          <w:p w:rsidR="005F5AFD" w:rsidRPr="005F5AFD" w:rsidRDefault="005F5AFD" w:rsidP="005F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5F5AFD">
              <w:rPr>
                <w:rFonts w:ascii="Segoe UI" w:hAnsi="Segoe UI" w:cs="Segoe UI"/>
                <w:color w:val="000000"/>
              </w:rPr>
              <w:t xml:space="preserve">$36.70 </w:t>
            </w:r>
          </w:p>
        </w:tc>
      </w:tr>
      <w:tr w:rsidR="005F5AFD" w:rsidRPr="005F5AFD" w:rsidTr="005F5AFD">
        <w:trPr>
          <w:trHeight w:val="139"/>
        </w:trPr>
        <w:tc>
          <w:tcPr>
            <w:tcW w:w="5130" w:type="dxa"/>
          </w:tcPr>
          <w:p w:rsidR="005F5AFD" w:rsidRPr="005F5AFD" w:rsidRDefault="005F5AFD" w:rsidP="005F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5F5AFD">
              <w:rPr>
                <w:rFonts w:ascii="Segoe UI" w:hAnsi="Segoe UI" w:cs="Segoe UI"/>
                <w:color w:val="000000"/>
              </w:rPr>
              <w:t xml:space="preserve">Compensation, Benefits, and Job Analysis Specialists </w:t>
            </w:r>
          </w:p>
        </w:tc>
        <w:tc>
          <w:tcPr>
            <w:tcW w:w="2204" w:type="dxa"/>
          </w:tcPr>
          <w:p w:rsidR="005F5AFD" w:rsidRPr="005F5AFD" w:rsidRDefault="005F5AFD" w:rsidP="005F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5F5AFD">
              <w:rPr>
                <w:rFonts w:ascii="Segoe UI" w:hAnsi="Segoe UI" w:cs="Segoe UI"/>
                <w:color w:val="000000"/>
              </w:rPr>
              <w:t xml:space="preserve">$20.69 </w:t>
            </w:r>
          </w:p>
        </w:tc>
        <w:tc>
          <w:tcPr>
            <w:tcW w:w="2068" w:type="dxa"/>
          </w:tcPr>
          <w:p w:rsidR="005F5AFD" w:rsidRPr="005F5AFD" w:rsidRDefault="005F5AFD" w:rsidP="005F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5F5AFD">
              <w:rPr>
                <w:rFonts w:ascii="Segoe UI" w:hAnsi="Segoe UI" w:cs="Segoe UI"/>
                <w:color w:val="000000"/>
              </w:rPr>
              <w:t xml:space="preserve">$30.48 </w:t>
            </w:r>
          </w:p>
        </w:tc>
      </w:tr>
      <w:tr w:rsidR="005F5AFD" w:rsidRPr="005F5AFD" w:rsidTr="005F5AFD">
        <w:trPr>
          <w:trHeight w:val="139"/>
        </w:trPr>
        <w:tc>
          <w:tcPr>
            <w:tcW w:w="5130" w:type="dxa"/>
          </w:tcPr>
          <w:p w:rsidR="005F5AFD" w:rsidRPr="005F5AFD" w:rsidRDefault="005F5AFD" w:rsidP="005F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5F5AFD">
              <w:rPr>
                <w:rFonts w:ascii="Segoe UI" w:hAnsi="Segoe UI" w:cs="Segoe UI"/>
                <w:color w:val="000000"/>
              </w:rPr>
              <w:t xml:space="preserve">Training and Development Specialists </w:t>
            </w:r>
          </w:p>
        </w:tc>
        <w:tc>
          <w:tcPr>
            <w:tcW w:w="2204" w:type="dxa"/>
          </w:tcPr>
          <w:p w:rsidR="005F5AFD" w:rsidRPr="005F5AFD" w:rsidRDefault="005F5AFD" w:rsidP="005F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5F5AFD">
              <w:rPr>
                <w:rFonts w:ascii="Segoe UI" w:hAnsi="Segoe UI" w:cs="Segoe UI"/>
                <w:color w:val="000000"/>
              </w:rPr>
              <w:t xml:space="preserve">$15.58 </w:t>
            </w:r>
          </w:p>
        </w:tc>
        <w:tc>
          <w:tcPr>
            <w:tcW w:w="2068" w:type="dxa"/>
          </w:tcPr>
          <w:p w:rsidR="005F5AFD" w:rsidRPr="005F5AFD" w:rsidRDefault="005F5AFD" w:rsidP="005F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5F5AFD">
              <w:rPr>
                <w:rFonts w:ascii="Segoe UI" w:hAnsi="Segoe UI" w:cs="Segoe UI"/>
                <w:color w:val="000000"/>
              </w:rPr>
              <w:t xml:space="preserve">$24.90 </w:t>
            </w:r>
          </w:p>
        </w:tc>
      </w:tr>
      <w:tr w:rsidR="005F5AFD" w:rsidRPr="005F5AFD" w:rsidTr="005F5AFD">
        <w:trPr>
          <w:trHeight w:val="139"/>
        </w:trPr>
        <w:tc>
          <w:tcPr>
            <w:tcW w:w="5130" w:type="dxa"/>
          </w:tcPr>
          <w:p w:rsidR="005F5AFD" w:rsidRPr="005F5AFD" w:rsidRDefault="005F5AFD" w:rsidP="005F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5F5AFD">
              <w:rPr>
                <w:rFonts w:ascii="Segoe UI" w:hAnsi="Segoe UI" w:cs="Segoe UI"/>
                <w:color w:val="000000"/>
              </w:rPr>
              <w:t xml:space="preserve">Business Operations Specialists, All Other </w:t>
            </w:r>
          </w:p>
        </w:tc>
        <w:tc>
          <w:tcPr>
            <w:tcW w:w="2204" w:type="dxa"/>
          </w:tcPr>
          <w:p w:rsidR="005F5AFD" w:rsidRPr="005F5AFD" w:rsidRDefault="005F5AFD" w:rsidP="005F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5F5AFD">
              <w:rPr>
                <w:rFonts w:ascii="Segoe UI" w:hAnsi="Segoe UI" w:cs="Segoe UI"/>
                <w:color w:val="000000"/>
              </w:rPr>
              <w:t xml:space="preserve">$17.29 </w:t>
            </w:r>
          </w:p>
        </w:tc>
        <w:tc>
          <w:tcPr>
            <w:tcW w:w="2068" w:type="dxa"/>
          </w:tcPr>
          <w:p w:rsidR="005F5AFD" w:rsidRPr="005F5AFD" w:rsidRDefault="005F5AFD" w:rsidP="005F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5F5AFD">
              <w:rPr>
                <w:rFonts w:ascii="Segoe UI" w:hAnsi="Segoe UI" w:cs="Segoe UI"/>
                <w:color w:val="000000"/>
              </w:rPr>
              <w:t xml:space="preserve">$30.90 </w:t>
            </w:r>
          </w:p>
        </w:tc>
      </w:tr>
      <w:tr w:rsidR="005F5AFD" w:rsidRPr="005F5AFD" w:rsidTr="005F5AFD">
        <w:trPr>
          <w:trHeight w:val="139"/>
        </w:trPr>
        <w:tc>
          <w:tcPr>
            <w:tcW w:w="5130" w:type="dxa"/>
          </w:tcPr>
          <w:p w:rsidR="005F5AFD" w:rsidRPr="005F5AFD" w:rsidRDefault="005F5AFD" w:rsidP="005F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5F5AFD">
              <w:rPr>
                <w:rFonts w:ascii="Segoe UI" w:hAnsi="Segoe UI" w:cs="Segoe UI"/>
                <w:color w:val="000000"/>
              </w:rPr>
              <w:t xml:space="preserve">Appraisers and Assessors of Real Estate </w:t>
            </w:r>
          </w:p>
        </w:tc>
        <w:tc>
          <w:tcPr>
            <w:tcW w:w="2204" w:type="dxa"/>
          </w:tcPr>
          <w:p w:rsidR="005F5AFD" w:rsidRPr="005F5AFD" w:rsidRDefault="005F5AFD" w:rsidP="005F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5F5AFD">
              <w:rPr>
                <w:rFonts w:ascii="Segoe UI" w:hAnsi="Segoe UI" w:cs="Segoe UI"/>
                <w:color w:val="000000"/>
              </w:rPr>
              <w:t xml:space="preserve">$17.46 </w:t>
            </w:r>
          </w:p>
        </w:tc>
        <w:tc>
          <w:tcPr>
            <w:tcW w:w="2068" w:type="dxa"/>
          </w:tcPr>
          <w:p w:rsidR="005F5AFD" w:rsidRPr="005F5AFD" w:rsidRDefault="005F5AFD" w:rsidP="005F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5F5AFD">
              <w:rPr>
                <w:rFonts w:ascii="Segoe UI" w:hAnsi="Segoe UI" w:cs="Segoe UI"/>
                <w:color w:val="000000"/>
              </w:rPr>
              <w:t xml:space="preserve">$25.41 </w:t>
            </w:r>
          </w:p>
        </w:tc>
      </w:tr>
      <w:tr w:rsidR="005F5AFD" w:rsidRPr="005F5AFD" w:rsidTr="005F5AFD">
        <w:trPr>
          <w:trHeight w:val="139"/>
        </w:trPr>
        <w:tc>
          <w:tcPr>
            <w:tcW w:w="5130" w:type="dxa"/>
          </w:tcPr>
          <w:p w:rsidR="005F5AFD" w:rsidRPr="005F5AFD" w:rsidRDefault="005F5AFD" w:rsidP="005F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5F5AFD">
              <w:rPr>
                <w:rFonts w:ascii="Segoe UI" w:hAnsi="Segoe UI" w:cs="Segoe UI"/>
                <w:color w:val="000000"/>
              </w:rPr>
              <w:t xml:space="preserve">Credit Counselors </w:t>
            </w:r>
          </w:p>
        </w:tc>
        <w:tc>
          <w:tcPr>
            <w:tcW w:w="2204" w:type="dxa"/>
          </w:tcPr>
          <w:p w:rsidR="005F5AFD" w:rsidRPr="005F5AFD" w:rsidRDefault="005F5AFD" w:rsidP="005F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5F5AFD">
              <w:rPr>
                <w:rFonts w:ascii="Segoe UI" w:hAnsi="Segoe UI" w:cs="Segoe UI"/>
                <w:color w:val="000000"/>
              </w:rPr>
              <w:t xml:space="preserve">$15.20 </w:t>
            </w:r>
          </w:p>
        </w:tc>
        <w:tc>
          <w:tcPr>
            <w:tcW w:w="2068" w:type="dxa"/>
          </w:tcPr>
          <w:p w:rsidR="005F5AFD" w:rsidRPr="005F5AFD" w:rsidRDefault="005F5AFD" w:rsidP="005F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5F5AFD">
              <w:rPr>
                <w:rFonts w:ascii="Segoe UI" w:hAnsi="Segoe UI" w:cs="Segoe UI"/>
                <w:color w:val="000000"/>
              </w:rPr>
              <w:t xml:space="preserve">$21.96 </w:t>
            </w:r>
          </w:p>
        </w:tc>
      </w:tr>
      <w:tr w:rsidR="005F5AFD" w:rsidRPr="005F5AFD" w:rsidTr="005F5AFD">
        <w:trPr>
          <w:trHeight w:val="139"/>
        </w:trPr>
        <w:tc>
          <w:tcPr>
            <w:tcW w:w="5130" w:type="dxa"/>
          </w:tcPr>
          <w:p w:rsidR="005F5AFD" w:rsidRPr="005F5AFD" w:rsidRDefault="005F5AFD" w:rsidP="005F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5F5AFD">
              <w:rPr>
                <w:rFonts w:ascii="Segoe UI" w:hAnsi="Segoe UI" w:cs="Segoe UI"/>
                <w:color w:val="000000"/>
              </w:rPr>
              <w:t xml:space="preserve">Loan Officers </w:t>
            </w:r>
          </w:p>
        </w:tc>
        <w:tc>
          <w:tcPr>
            <w:tcW w:w="2204" w:type="dxa"/>
          </w:tcPr>
          <w:p w:rsidR="005F5AFD" w:rsidRPr="005F5AFD" w:rsidRDefault="005F5AFD" w:rsidP="005F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5F5AFD">
              <w:rPr>
                <w:rFonts w:ascii="Segoe UI" w:hAnsi="Segoe UI" w:cs="Segoe UI"/>
                <w:color w:val="000000"/>
              </w:rPr>
              <w:t xml:space="preserve">$18.56 </w:t>
            </w:r>
          </w:p>
        </w:tc>
        <w:tc>
          <w:tcPr>
            <w:tcW w:w="2068" w:type="dxa"/>
          </w:tcPr>
          <w:p w:rsidR="005F5AFD" w:rsidRPr="005F5AFD" w:rsidRDefault="005F5AFD" w:rsidP="005F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5F5AFD">
              <w:rPr>
                <w:rFonts w:ascii="Segoe UI" w:hAnsi="Segoe UI" w:cs="Segoe UI"/>
                <w:color w:val="000000"/>
              </w:rPr>
              <w:t xml:space="preserve">$35.12 </w:t>
            </w:r>
          </w:p>
        </w:tc>
      </w:tr>
      <w:tr w:rsidR="005F5AFD" w:rsidRPr="005F5AFD" w:rsidTr="005F5AFD">
        <w:trPr>
          <w:trHeight w:val="139"/>
        </w:trPr>
        <w:tc>
          <w:tcPr>
            <w:tcW w:w="5130" w:type="dxa"/>
          </w:tcPr>
          <w:p w:rsidR="005F5AFD" w:rsidRPr="005F5AFD" w:rsidRDefault="005F5AFD" w:rsidP="005F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5F5AFD">
              <w:rPr>
                <w:rFonts w:ascii="Segoe UI" w:hAnsi="Segoe UI" w:cs="Segoe UI"/>
                <w:color w:val="000000"/>
              </w:rPr>
              <w:t xml:space="preserve">Tax Examiners and Collectors, and Revenue Agents </w:t>
            </w:r>
          </w:p>
        </w:tc>
        <w:tc>
          <w:tcPr>
            <w:tcW w:w="2204" w:type="dxa"/>
          </w:tcPr>
          <w:p w:rsidR="005F5AFD" w:rsidRPr="005F5AFD" w:rsidRDefault="005F5AFD" w:rsidP="005F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5F5AFD">
              <w:rPr>
                <w:rFonts w:ascii="Segoe UI" w:hAnsi="Segoe UI" w:cs="Segoe UI"/>
                <w:color w:val="000000"/>
              </w:rPr>
              <w:t xml:space="preserve">$17.28 </w:t>
            </w:r>
          </w:p>
        </w:tc>
        <w:tc>
          <w:tcPr>
            <w:tcW w:w="2068" w:type="dxa"/>
          </w:tcPr>
          <w:p w:rsidR="005F5AFD" w:rsidRPr="005F5AFD" w:rsidRDefault="005F5AFD" w:rsidP="005F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5F5AFD">
              <w:rPr>
                <w:rFonts w:ascii="Segoe UI" w:hAnsi="Segoe UI" w:cs="Segoe UI"/>
                <w:color w:val="000000"/>
              </w:rPr>
              <w:t xml:space="preserve">$22.55 </w:t>
            </w:r>
          </w:p>
        </w:tc>
      </w:tr>
      <w:tr w:rsidR="005F5AFD" w:rsidRPr="005F5AFD" w:rsidTr="005F5AFD">
        <w:trPr>
          <w:trHeight w:val="139"/>
        </w:trPr>
        <w:tc>
          <w:tcPr>
            <w:tcW w:w="5130" w:type="dxa"/>
            <w:shd w:val="clear" w:color="auto" w:fill="D5DCE4" w:themeFill="text2" w:themeFillTint="33"/>
          </w:tcPr>
          <w:p w:rsidR="005F5AFD" w:rsidRPr="005F5AFD" w:rsidRDefault="005F5AFD" w:rsidP="005F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5F5AFD">
              <w:rPr>
                <w:rFonts w:ascii="Segoe UI" w:hAnsi="Segoe UI" w:cs="Segoe UI"/>
                <w:color w:val="000000"/>
              </w:rPr>
              <w:t xml:space="preserve">Tax Preparers </w:t>
            </w:r>
          </w:p>
        </w:tc>
        <w:tc>
          <w:tcPr>
            <w:tcW w:w="2204" w:type="dxa"/>
            <w:shd w:val="clear" w:color="auto" w:fill="D5DCE4" w:themeFill="text2" w:themeFillTint="33"/>
          </w:tcPr>
          <w:p w:rsidR="005F5AFD" w:rsidRPr="005F5AFD" w:rsidRDefault="005F5AFD" w:rsidP="005F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5F5AFD">
              <w:rPr>
                <w:rFonts w:ascii="Segoe UI" w:hAnsi="Segoe UI" w:cs="Segoe UI"/>
                <w:color w:val="000000"/>
              </w:rPr>
              <w:t xml:space="preserve">$12.06 </w:t>
            </w:r>
          </w:p>
        </w:tc>
        <w:tc>
          <w:tcPr>
            <w:tcW w:w="2068" w:type="dxa"/>
            <w:shd w:val="clear" w:color="auto" w:fill="D5DCE4" w:themeFill="text2" w:themeFillTint="33"/>
          </w:tcPr>
          <w:p w:rsidR="005F5AFD" w:rsidRPr="005F5AFD" w:rsidRDefault="005F5AFD" w:rsidP="005F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5F5AFD">
              <w:rPr>
                <w:rFonts w:ascii="Segoe UI" w:hAnsi="Segoe UI" w:cs="Segoe UI"/>
                <w:color w:val="000000"/>
              </w:rPr>
              <w:t xml:space="preserve">$19.95 </w:t>
            </w:r>
          </w:p>
        </w:tc>
      </w:tr>
    </w:tbl>
    <w:p w:rsidR="005F5AFD" w:rsidRDefault="005F5AFD" w:rsidP="00015638">
      <w:pPr>
        <w:rPr>
          <w:rFonts w:ascii="Segoe UI" w:hAnsi="Segoe UI" w:cs="Segoe UI"/>
          <w:b/>
        </w:rPr>
      </w:pPr>
    </w:p>
    <w:p w:rsidR="00782747" w:rsidRPr="00AC2879" w:rsidRDefault="00782747" w:rsidP="00D7642B">
      <w:pPr>
        <w:rPr>
          <w:rFonts w:ascii="Segoe UI" w:hAnsi="Segoe UI" w:cs="Segoe UI"/>
          <w:b/>
        </w:rPr>
      </w:pPr>
      <w:r w:rsidRPr="00AC2879">
        <w:rPr>
          <w:rFonts w:ascii="Segoe UI" w:hAnsi="Segoe UI" w:cs="Segoe UI"/>
          <w:b/>
        </w:rPr>
        <w:t xml:space="preserve">Knowledge &amp; Skills: </w:t>
      </w:r>
    </w:p>
    <w:p w:rsidR="00AC2879" w:rsidRPr="00AC2879" w:rsidRDefault="00782747" w:rsidP="00AC2879">
      <w:pPr>
        <w:rPr>
          <w:rFonts w:ascii="Segoe UI" w:hAnsi="Segoe UI" w:cs="Segoe UI"/>
        </w:rPr>
      </w:pPr>
      <w:r w:rsidRPr="00AC2879">
        <w:rPr>
          <w:rFonts w:ascii="Segoe UI" w:hAnsi="Segoe UI" w:cs="Segoe UI"/>
        </w:rPr>
        <w:t xml:space="preserve">Within the areas of business </w:t>
      </w:r>
      <w:proofErr w:type="spellStart"/>
      <w:r w:rsidRPr="00AC2879">
        <w:rPr>
          <w:rFonts w:ascii="Segoe UI" w:hAnsi="Segoe UI" w:cs="Segoe UI"/>
        </w:rPr>
        <w:t>ONet</w:t>
      </w:r>
      <w:proofErr w:type="spellEnd"/>
      <w:r w:rsidRPr="00AC2879">
        <w:rPr>
          <w:rFonts w:ascii="Segoe UI" w:hAnsi="Segoe UI" w:cs="Segoe UI"/>
        </w:rPr>
        <w:t xml:space="preserve"> </w:t>
      </w:r>
      <w:proofErr w:type="gramStart"/>
      <w:r w:rsidRPr="00AC2879">
        <w:rPr>
          <w:rFonts w:ascii="Segoe UI" w:hAnsi="Segoe UI" w:cs="Segoe UI"/>
        </w:rPr>
        <w:t>Online</w:t>
      </w:r>
      <w:proofErr w:type="gramEnd"/>
      <w:r w:rsidR="00AC2879">
        <w:rPr>
          <w:rStyle w:val="FootnoteReference"/>
          <w:rFonts w:ascii="Segoe UI" w:hAnsi="Segoe UI" w:cs="Segoe UI"/>
        </w:rPr>
        <w:footnoteReference w:id="8"/>
      </w:r>
      <w:r w:rsidR="00AC2879" w:rsidRPr="00AC2879">
        <w:rPr>
          <w:rFonts w:ascii="Segoe UI" w:hAnsi="Segoe UI" w:cs="Segoe UI"/>
        </w:rPr>
        <w:t>(</w:t>
      </w:r>
      <w:r w:rsidRPr="00AC2879">
        <w:rPr>
          <w:rFonts w:ascii="Segoe UI" w:hAnsi="Segoe UI" w:cs="Segoe UI"/>
          <w:lang/>
        </w:rPr>
        <w:t>sponsored by the U.S. Department of Labor</w:t>
      </w:r>
      <w:r w:rsidR="00AC2879" w:rsidRPr="00AC2879">
        <w:rPr>
          <w:rFonts w:ascii="Segoe UI" w:hAnsi="Segoe UI" w:cs="Segoe UI"/>
          <w:lang/>
        </w:rPr>
        <w:t xml:space="preserve">) lists the following knowledge and skills necessary for the field:  </w:t>
      </w:r>
    </w:p>
    <w:p w:rsidR="00AC2879" w:rsidRPr="00AC2879" w:rsidRDefault="00782747" w:rsidP="00AC2879">
      <w:pPr>
        <w:pStyle w:val="ListParagraph"/>
        <w:numPr>
          <w:ilvl w:val="0"/>
          <w:numId w:val="8"/>
        </w:numPr>
        <w:rPr>
          <w:rFonts w:ascii="Segoe UI" w:hAnsi="Segoe UI" w:cs="Segoe UI"/>
        </w:rPr>
      </w:pPr>
      <w:r w:rsidRPr="00AC2879">
        <w:rPr>
          <w:rFonts w:ascii="Segoe UI" w:eastAsia="Times New Roman" w:hAnsi="Segoe UI" w:cs="Segoe UI"/>
          <w:bCs/>
          <w:lang/>
        </w:rPr>
        <w:t>Customer and Personal Service</w:t>
      </w:r>
    </w:p>
    <w:p w:rsidR="00AC2879" w:rsidRPr="00AC2879" w:rsidRDefault="00782747" w:rsidP="00AC2879">
      <w:pPr>
        <w:pStyle w:val="ListParagraph"/>
        <w:numPr>
          <w:ilvl w:val="0"/>
          <w:numId w:val="8"/>
        </w:numPr>
        <w:rPr>
          <w:rFonts w:ascii="Segoe UI" w:hAnsi="Segoe UI" w:cs="Segoe UI"/>
        </w:rPr>
      </w:pPr>
      <w:r w:rsidRPr="00AC2879">
        <w:rPr>
          <w:rFonts w:ascii="Segoe UI" w:eastAsia="Times New Roman" w:hAnsi="Segoe UI" w:cs="Segoe UI"/>
          <w:bCs/>
          <w:lang/>
        </w:rPr>
        <w:t>Economics and Accounting</w:t>
      </w:r>
    </w:p>
    <w:p w:rsidR="00AC2879" w:rsidRPr="00AC2879" w:rsidRDefault="00782747" w:rsidP="00AC2879">
      <w:pPr>
        <w:pStyle w:val="ListParagraph"/>
        <w:numPr>
          <w:ilvl w:val="0"/>
          <w:numId w:val="8"/>
        </w:numPr>
        <w:rPr>
          <w:rFonts w:ascii="Segoe UI" w:hAnsi="Segoe UI" w:cs="Segoe UI"/>
        </w:rPr>
      </w:pPr>
      <w:r w:rsidRPr="00AC2879">
        <w:rPr>
          <w:rFonts w:ascii="Segoe UI" w:eastAsia="Times New Roman" w:hAnsi="Segoe UI" w:cs="Segoe UI"/>
          <w:bCs/>
          <w:lang/>
        </w:rPr>
        <w:t>Sales and Marketing</w:t>
      </w:r>
    </w:p>
    <w:p w:rsidR="00AC2879" w:rsidRPr="00AC2879" w:rsidRDefault="00782747" w:rsidP="00AC2879">
      <w:pPr>
        <w:pStyle w:val="ListParagraph"/>
        <w:numPr>
          <w:ilvl w:val="0"/>
          <w:numId w:val="8"/>
        </w:numPr>
        <w:rPr>
          <w:rFonts w:ascii="Segoe UI" w:hAnsi="Segoe UI" w:cs="Segoe UI"/>
        </w:rPr>
      </w:pPr>
      <w:r w:rsidRPr="00AC2879">
        <w:rPr>
          <w:rFonts w:ascii="Segoe UI" w:eastAsia="Times New Roman" w:hAnsi="Segoe UI" w:cs="Segoe UI"/>
          <w:bCs/>
          <w:lang/>
        </w:rPr>
        <w:t>Mathematics</w:t>
      </w:r>
    </w:p>
    <w:p w:rsidR="00AC2879" w:rsidRPr="00AC2879" w:rsidRDefault="00AC2879" w:rsidP="00AC2879">
      <w:pPr>
        <w:pStyle w:val="ListParagraph"/>
        <w:numPr>
          <w:ilvl w:val="0"/>
          <w:numId w:val="8"/>
        </w:numPr>
        <w:rPr>
          <w:rFonts w:ascii="Segoe UI" w:hAnsi="Segoe UI" w:cs="Segoe UI"/>
        </w:rPr>
      </w:pPr>
      <w:r w:rsidRPr="00AC2879">
        <w:rPr>
          <w:rFonts w:ascii="Segoe UI" w:eastAsia="Times New Roman" w:hAnsi="Segoe UI" w:cs="Segoe UI"/>
          <w:bCs/>
          <w:lang/>
        </w:rPr>
        <w:t>Persuasion</w:t>
      </w:r>
    </w:p>
    <w:p w:rsidR="00AC2879" w:rsidRPr="00AC2879" w:rsidRDefault="00AC2879" w:rsidP="00AC2879">
      <w:pPr>
        <w:pStyle w:val="ListParagraph"/>
        <w:numPr>
          <w:ilvl w:val="0"/>
          <w:numId w:val="8"/>
        </w:numPr>
        <w:rPr>
          <w:rFonts w:ascii="Segoe UI" w:hAnsi="Segoe UI" w:cs="Segoe UI"/>
        </w:rPr>
      </w:pPr>
      <w:r w:rsidRPr="00AC2879">
        <w:rPr>
          <w:rFonts w:ascii="Segoe UI" w:eastAsia="Times New Roman" w:hAnsi="Segoe UI" w:cs="Segoe UI"/>
          <w:bCs/>
          <w:lang/>
        </w:rPr>
        <w:t>Active Listening</w:t>
      </w:r>
    </w:p>
    <w:p w:rsidR="00AC2879" w:rsidRPr="00AC2879" w:rsidRDefault="00AC2879" w:rsidP="00AC2879">
      <w:pPr>
        <w:pStyle w:val="ListParagraph"/>
        <w:numPr>
          <w:ilvl w:val="0"/>
          <w:numId w:val="8"/>
        </w:numPr>
        <w:rPr>
          <w:rFonts w:ascii="Segoe UI" w:hAnsi="Segoe UI" w:cs="Segoe UI"/>
        </w:rPr>
      </w:pPr>
      <w:r w:rsidRPr="00AC2879">
        <w:rPr>
          <w:rFonts w:ascii="Segoe UI" w:eastAsia="Times New Roman" w:hAnsi="Segoe UI" w:cs="Segoe UI"/>
          <w:bCs/>
          <w:lang/>
        </w:rPr>
        <w:t>Critical Thinking</w:t>
      </w:r>
    </w:p>
    <w:p w:rsidR="00AC2879" w:rsidRPr="00AC2879" w:rsidRDefault="00AC2879" w:rsidP="00AC2879">
      <w:pPr>
        <w:pStyle w:val="ListParagraph"/>
        <w:numPr>
          <w:ilvl w:val="0"/>
          <w:numId w:val="8"/>
        </w:numPr>
        <w:rPr>
          <w:rFonts w:ascii="Segoe UI" w:hAnsi="Segoe UI" w:cs="Segoe UI"/>
        </w:rPr>
      </w:pPr>
      <w:r w:rsidRPr="00AC2879">
        <w:rPr>
          <w:rFonts w:ascii="Segoe UI" w:eastAsia="Times New Roman" w:hAnsi="Segoe UI" w:cs="Segoe UI"/>
          <w:bCs/>
          <w:lang/>
        </w:rPr>
        <w:t>Speaking</w:t>
      </w:r>
    </w:p>
    <w:p w:rsidR="00AC2879" w:rsidRPr="00AC2879" w:rsidRDefault="00AC2879" w:rsidP="00AC2879">
      <w:pPr>
        <w:pStyle w:val="ListParagraph"/>
        <w:numPr>
          <w:ilvl w:val="0"/>
          <w:numId w:val="8"/>
        </w:numPr>
        <w:rPr>
          <w:rFonts w:ascii="Segoe UI" w:hAnsi="Segoe UI" w:cs="Segoe UI"/>
        </w:rPr>
      </w:pPr>
      <w:r w:rsidRPr="00AC2879">
        <w:rPr>
          <w:rFonts w:ascii="Segoe UI" w:eastAsia="Times New Roman" w:hAnsi="Segoe UI" w:cs="Segoe UI"/>
          <w:bCs/>
          <w:lang/>
        </w:rPr>
        <w:t>Reading Comprehension</w:t>
      </w:r>
    </w:p>
    <w:p w:rsidR="005E1C38" w:rsidRPr="00830AF8" w:rsidRDefault="005E1C38">
      <w:pPr>
        <w:rPr>
          <w:rFonts w:ascii="Segoe UI" w:hAnsi="Segoe UI" w:cs="Segoe UI"/>
          <w:sz w:val="24"/>
          <w:szCs w:val="24"/>
        </w:rPr>
      </w:pPr>
    </w:p>
    <w:sectPr w:rsidR="005E1C38" w:rsidRPr="00830AF8" w:rsidSect="003237DD">
      <w:head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C19" w:rsidRDefault="00E06C19" w:rsidP="005E1C38">
      <w:pPr>
        <w:spacing w:after="0" w:line="240" w:lineRule="auto"/>
      </w:pPr>
      <w:r>
        <w:separator/>
      </w:r>
    </w:p>
  </w:endnote>
  <w:endnote w:type="continuationSeparator" w:id="0">
    <w:p w:rsidR="00E06C19" w:rsidRDefault="00E06C19" w:rsidP="005E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7DD" w:rsidRPr="003237DD" w:rsidRDefault="003237DD" w:rsidP="003237DD">
    <w:pPr>
      <w:pStyle w:val="Footer"/>
      <w:jc w:val="right"/>
      <w:rPr>
        <w:rFonts w:ascii="Segoe UI" w:hAnsi="Segoe UI" w:cs="Segoe UI"/>
        <w:sz w:val="24"/>
        <w:szCs w:val="24"/>
      </w:rPr>
    </w:pPr>
    <w:r w:rsidRPr="003237DD">
      <w:rPr>
        <w:rFonts w:ascii="Segoe UI" w:hAnsi="Segoe UI" w:cs="Segoe UI"/>
        <w:sz w:val="24"/>
        <w:szCs w:val="24"/>
      </w:rPr>
      <w:t xml:space="preserve">Prepared by the College of Research &amp; Evaluation (C.O.R.E.)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C19" w:rsidRDefault="00E06C19" w:rsidP="005E1C38">
      <w:pPr>
        <w:spacing w:after="0" w:line="240" w:lineRule="auto"/>
      </w:pPr>
      <w:r>
        <w:separator/>
      </w:r>
    </w:p>
  </w:footnote>
  <w:footnote w:type="continuationSeparator" w:id="0">
    <w:p w:rsidR="00E06C19" w:rsidRDefault="00E06C19" w:rsidP="005E1C38">
      <w:pPr>
        <w:spacing w:after="0" w:line="240" w:lineRule="auto"/>
      </w:pPr>
      <w:r>
        <w:continuationSeparator/>
      </w:r>
    </w:p>
  </w:footnote>
  <w:footnote w:id="1">
    <w:p w:rsidR="004B3123" w:rsidRPr="00875975" w:rsidRDefault="004B3123" w:rsidP="004B3123">
      <w:pPr>
        <w:pStyle w:val="FootnoteText"/>
        <w:rPr>
          <w:rFonts w:ascii="Segoe UI" w:hAnsi="Segoe UI" w:cs="Segoe UI"/>
          <w:sz w:val="16"/>
          <w:szCs w:val="16"/>
        </w:rPr>
      </w:pPr>
      <w:r w:rsidRPr="00875975">
        <w:rPr>
          <w:rStyle w:val="FootnoteReference"/>
          <w:rFonts w:ascii="Segoe UI" w:hAnsi="Segoe UI" w:cs="Segoe UI"/>
          <w:sz w:val="16"/>
          <w:szCs w:val="16"/>
        </w:rPr>
        <w:footnoteRef/>
      </w:r>
      <w:hyperlink r:id="rId1" w:history="1">
        <w:r w:rsidRPr="00875975">
          <w:rPr>
            <w:rStyle w:val="Hyperlink"/>
            <w:rFonts w:ascii="Segoe UI" w:hAnsi="Segoe UI" w:cs="Segoe UI"/>
            <w:sz w:val="16"/>
            <w:szCs w:val="16"/>
          </w:rPr>
          <w:t>http://www.dot.ca.gov/hq/tpp/offices/eab/socio_economic_files/2017/Fresno.pdf</w:t>
        </w:r>
      </w:hyperlink>
      <w:r w:rsidRPr="00875975">
        <w:rPr>
          <w:rFonts w:ascii="Segoe UI" w:hAnsi="Segoe UI" w:cs="Segoe UI"/>
          <w:sz w:val="16"/>
          <w:szCs w:val="16"/>
        </w:rPr>
        <w:t xml:space="preserve"> Pg. 40 table 1  </w:t>
      </w:r>
    </w:p>
  </w:footnote>
  <w:footnote w:id="2">
    <w:p w:rsidR="00830AF8" w:rsidRPr="00875975" w:rsidRDefault="00830AF8" w:rsidP="00830AF8">
      <w:pPr>
        <w:pStyle w:val="FootnoteText"/>
        <w:rPr>
          <w:rFonts w:ascii="Segoe UI" w:hAnsi="Segoe UI" w:cs="Segoe UI"/>
          <w:sz w:val="16"/>
          <w:szCs w:val="16"/>
        </w:rPr>
      </w:pPr>
      <w:r w:rsidRPr="00875975">
        <w:rPr>
          <w:rStyle w:val="FootnoteReference"/>
          <w:rFonts w:ascii="Segoe UI" w:hAnsi="Segoe UI" w:cs="Segoe UI"/>
          <w:sz w:val="16"/>
          <w:szCs w:val="16"/>
        </w:rPr>
        <w:footnoteRef/>
      </w:r>
      <w:hyperlink r:id="rId2" w:history="1">
        <w:r w:rsidRPr="00875975">
          <w:rPr>
            <w:rStyle w:val="Hyperlink"/>
            <w:rFonts w:ascii="Segoe UI" w:hAnsi="Segoe UI" w:cs="Segoe UI"/>
            <w:sz w:val="16"/>
            <w:szCs w:val="16"/>
          </w:rPr>
          <w:t>https://www.selectusa.gov/professional-services-industry-united-states</w:t>
        </w:r>
      </w:hyperlink>
      <w:proofErr w:type="spellStart"/>
      <w:r w:rsidRPr="00875975">
        <w:rPr>
          <w:rFonts w:ascii="Segoe UI" w:hAnsi="Segoe UI" w:cs="Segoe UI"/>
          <w:color w:val="3C4542"/>
          <w:sz w:val="16"/>
          <w:szCs w:val="16"/>
          <w:lang/>
        </w:rPr>
        <w:t>SelectUSA</w:t>
      </w:r>
      <w:proofErr w:type="spellEnd"/>
      <w:r w:rsidRPr="00875975">
        <w:rPr>
          <w:rFonts w:ascii="Segoe UI" w:hAnsi="Segoe UI" w:cs="Segoe UI"/>
          <w:color w:val="3C4542"/>
          <w:sz w:val="16"/>
          <w:szCs w:val="16"/>
          <w:lang/>
        </w:rPr>
        <w:t xml:space="preserve"> is a U.S. government-wide program led by the U.S. Department of Commerce.</w:t>
      </w:r>
    </w:p>
  </w:footnote>
  <w:footnote w:id="3">
    <w:p w:rsidR="00182942" w:rsidRDefault="00182942">
      <w:pPr>
        <w:pStyle w:val="FootnoteText"/>
      </w:pPr>
      <w:r w:rsidRPr="00875975">
        <w:rPr>
          <w:rStyle w:val="FootnoteReference"/>
          <w:rFonts w:ascii="Segoe UI" w:hAnsi="Segoe UI" w:cs="Segoe UI"/>
          <w:sz w:val="16"/>
          <w:szCs w:val="16"/>
        </w:rPr>
        <w:footnoteRef/>
      </w:r>
      <w:hyperlink r:id="rId3" w:history="1">
        <w:r w:rsidRPr="00875975">
          <w:rPr>
            <w:rStyle w:val="Hyperlink"/>
            <w:rFonts w:ascii="Segoe UI" w:hAnsi="Segoe UI" w:cs="Segoe UI"/>
            <w:sz w:val="16"/>
            <w:szCs w:val="16"/>
          </w:rPr>
          <w:t>http://dwmshowcase.com/lmilibrary/documents/lma_CVML_16.pdf</w:t>
        </w:r>
      </w:hyperlink>
    </w:p>
  </w:footnote>
  <w:footnote w:id="4">
    <w:p w:rsidR="00F57354" w:rsidRPr="007872AF" w:rsidRDefault="00F57354">
      <w:pPr>
        <w:pStyle w:val="FootnoteText"/>
        <w:rPr>
          <w:rFonts w:ascii="Segoe UI" w:hAnsi="Segoe UI" w:cs="Segoe UI"/>
          <w:sz w:val="16"/>
          <w:szCs w:val="16"/>
        </w:rPr>
      </w:pPr>
      <w:r w:rsidRPr="007872AF">
        <w:rPr>
          <w:rStyle w:val="FootnoteReference"/>
          <w:rFonts w:ascii="Segoe UI" w:hAnsi="Segoe UI" w:cs="Segoe UI"/>
          <w:sz w:val="16"/>
          <w:szCs w:val="16"/>
        </w:rPr>
        <w:footnoteRef/>
      </w:r>
      <w:hyperlink r:id="rId4" w:history="1">
        <w:r w:rsidRPr="007872AF">
          <w:rPr>
            <w:rStyle w:val="Hyperlink"/>
            <w:rFonts w:ascii="Segoe UI" w:hAnsi="Segoe UI" w:cs="Segoe UI"/>
            <w:sz w:val="16"/>
            <w:szCs w:val="16"/>
          </w:rPr>
          <w:t>http://dwmshowcase.com/lmilibrary/documents/lma_CVML_16.pdf</w:t>
        </w:r>
      </w:hyperlink>
      <w:r w:rsidRPr="007872AF">
        <w:rPr>
          <w:rFonts w:ascii="Segoe UI" w:hAnsi="Segoe UI" w:cs="Segoe UI"/>
          <w:sz w:val="16"/>
          <w:szCs w:val="16"/>
        </w:rPr>
        <w:t xml:space="preserve"> Page 16</w:t>
      </w:r>
    </w:p>
  </w:footnote>
  <w:footnote w:id="5">
    <w:p w:rsidR="00CB7059" w:rsidRPr="007872AF" w:rsidRDefault="00CB7059">
      <w:pPr>
        <w:pStyle w:val="FootnoteText"/>
        <w:rPr>
          <w:rFonts w:ascii="Segoe UI" w:hAnsi="Segoe UI" w:cs="Segoe UI"/>
          <w:sz w:val="16"/>
          <w:szCs w:val="16"/>
        </w:rPr>
      </w:pPr>
      <w:r w:rsidRPr="007872AF">
        <w:rPr>
          <w:rStyle w:val="FootnoteReference"/>
          <w:rFonts w:ascii="Segoe UI" w:hAnsi="Segoe UI" w:cs="Segoe UI"/>
          <w:sz w:val="16"/>
          <w:szCs w:val="16"/>
        </w:rPr>
        <w:footnoteRef/>
      </w:r>
      <w:hyperlink r:id="rId5" w:history="1">
        <w:r w:rsidR="005F5AFD" w:rsidRPr="007872AF">
          <w:rPr>
            <w:rStyle w:val="Hyperlink"/>
            <w:rFonts w:ascii="Segoe UI" w:hAnsi="Segoe UI" w:cs="Segoe UI"/>
            <w:sz w:val="16"/>
            <w:szCs w:val="16"/>
          </w:rPr>
          <w:t>http://dwmshowcase.com/lmilibrary/documents/dwm_sector_smbus_13.pdf</w:t>
        </w:r>
      </w:hyperlink>
      <w:r w:rsidR="005F5AFD" w:rsidRPr="007872AF">
        <w:rPr>
          <w:rFonts w:ascii="Segoe UI" w:hAnsi="Segoe UI" w:cs="Segoe UI"/>
          <w:sz w:val="16"/>
          <w:szCs w:val="16"/>
        </w:rPr>
        <w:t>.  Sept 2016, C</w:t>
      </w:r>
      <w:r w:rsidR="0049444E" w:rsidRPr="007872AF">
        <w:rPr>
          <w:rFonts w:ascii="Segoe UI" w:hAnsi="Segoe UI" w:cs="Segoe UI"/>
          <w:sz w:val="16"/>
          <w:szCs w:val="16"/>
        </w:rPr>
        <w:t xml:space="preserve">hart recreated. </w:t>
      </w:r>
    </w:p>
  </w:footnote>
  <w:footnote w:id="6">
    <w:p w:rsidR="0049444E" w:rsidRDefault="0049444E">
      <w:pPr>
        <w:pStyle w:val="FootnoteText"/>
      </w:pPr>
      <w:r w:rsidRPr="007872AF">
        <w:rPr>
          <w:rStyle w:val="FootnoteReference"/>
          <w:rFonts w:ascii="Segoe UI" w:hAnsi="Segoe UI" w:cs="Segoe UI"/>
          <w:sz w:val="16"/>
          <w:szCs w:val="16"/>
        </w:rPr>
        <w:footnoteRef/>
      </w:r>
      <w:hyperlink r:id="rId6" w:history="1">
        <w:r w:rsidRPr="007872AF">
          <w:rPr>
            <w:rStyle w:val="Hyperlink"/>
            <w:rFonts w:ascii="Segoe UI" w:hAnsi="Segoe UI" w:cs="Segoe UI"/>
            <w:sz w:val="16"/>
            <w:szCs w:val="16"/>
          </w:rPr>
          <w:t>http://dwmshowcase.com/lmilibrary/documents/dwm_sector_smbus_13.pdf</w:t>
        </w:r>
      </w:hyperlink>
      <w:r w:rsidRPr="007872AF">
        <w:rPr>
          <w:rFonts w:ascii="Segoe UI" w:hAnsi="Segoe UI" w:cs="Segoe UI"/>
          <w:sz w:val="16"/>
          <w:szCs w:val="16"/>
        </w:rPr>
        <w:t xml:space="preserve">.  </w:t>
      </w:r>
      <w:r w:rsidR="005F5AFD" w:rsidRPr="007872AF">
        <w:rPr>
          <w:rFonts w:ascii="Segoe UI" w:hAnsi="Segoe UI" w:cs="Segoe UI"/>
          <w:sz w:val="16"/>
          <w:szCs w:val="16"/>
        </w:rPr>
        <w:t xml:space="preserve">Sept 2016, </w:t>
      </w:r>
      <w:r w:rsidRPr="007872AF">
        <w:rPr>
          <w:rFonts w:ascii="Segoe UI" w:hAnsi="Segoe UI" w:cs="Segoe UI"/>
          <w:sz w:val="16"/>
          <w:szCs w:val="16"/>
        </w:rPr>
        <w:t>Page 3</w:t>
      </w:r>
    </w:p>
  </w:footnote>
  <w:footnote w:id="7">
    <w:p w:rsidR="005F5AFD" w:rsidRPr="007872AF" w:rsidRDefault="005F5AFD">
      <w:pPr>
        <w:pStyle w:val="FootnoteText"/>
        <w:rPr>
          <w:rFonts w:ascii="Segoe UI" w:hAnsi="Segoe UI" w:cs="Segoe UI"/>
          <w:sz w:val="16"/>
          <w:szCs w:val="16"/>
        </w:rPr>
      </w:pPr>
      <w:r w:rsidRPr="007872AF">
        <w:rPr>
          <w:rStyle w:val="FootnoteReference"/>
          <w:rFonts w:ascii="Segoe UI" w:hAnsi="Segoe UI" w:cs="Segoe UI"/>
          <w:sz w:val="16"/>
          <w:szCs w:val="16"/>
        </w:rPr>
        <w:footnoteRef/>
      </w:r>
      <w:hyperlink r:id="rId7" w:history="1">
        <w:r w:rsidRPr="007872AF">
          <w:rPr>
            <w:rStyle w:val="Hyperlink"/>
            <w:rFonts w:ascii="Segoe UI" w:hAnsi="Segoe UI" w:cs="Segoe UI"/>
            <w:sz w:val="16"/>
            <w:szCs w:val="16"/>
          </w:rPr>
          <w:t>http://dwmshowcase.com/lmilibrary/documents/lma_CVML_16.pdf</w:t>
        </w:r>
      </w:hyperlink>
      <w:r w:rsidRPr="007872AF">
        <w:rPr>
          <w:rFonts w:ascii="Segoe UI" w:hAnsi="Segoe UI" w:cs="Segoe UI"/>
          <w:sz w:val="16"/>
          <w:szCs w:val="16"/>
        </w:rPr>
        <w:t xml:space="preserve"> September 2016</w:t>
      </w:r>
    </w:p>
  </w:footnote>
  <w:footnote w:id="8">
    <w:p w:rsidR="00AC2879" w:rsidRDefault="00AC2879">
      <w:pPr>
        <w:pStyle w:val="FootnoteText"/>
      </w:pPr>
      <w:r w:rsidRPr="007872AF">
        <w:rPr>
          <w:rStyle w:val="FootnoteReference"/>
          <w:rFonts w:ascii="Segoe UI" w:hAnsi="Segoe UI" w:cs="Segoe UI"/>
          <w:sz w:val="16"/>
          <w:szCs w:val="16"/>
        </w:rPr>
        <w:footnoteRef/>
      </w:r>
      <w:r w:rsidRPr="007872AF">
        <w:rPr>
          <w:rFonts w:ascii="Segoe UI" w:hAnsi="Segoe UI" w:cs="Segoe UI"/>
          <w:sz w:val="16"/>
          <w:szCs w:val="16"/>
        </w:rPr>
        <w:t xml:space="preserve"> https://www.onetonline.org/link/summary/41-3031.02#Skills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C38" w:rsidRDefault="000233B3" w:rsidP="003237DD">
    <w:pPr>
      <w:pStyle w:val="Header"/>
      <w:shd w:val="clear" w:color="auto" w:fill="2E74B5" w:themeFill="accent1" w:themeFillShade="BF"/>
      <w:rPr>
        <w:rFonts w:ascii="Segoe UI" w:hAnsi="Segoe UI" w:cs="Segoe UI"/>
        <w:color w:val="FFFFFF" w:themeColor="background1"/>
        <w:sz w:val="24"/>
        <w:szCs w:val="24"/>
      </w:rPr>
    </w:pPr>
    <w:r>
      <w:rPr>
        <w:rFonts w:ascii="Segoe UI" w:hAnsi="Segoe UI" w:cs="Segoe UI"/>
        <w:color w:val="FFFFFF" w:themeColor="background1"/>
        <w:sz w:val="24"/>
        <w:szCs w:val="24"/>
      </w:rPr>
      <w:t>Business Foundations Certificate</w:t>
    </w:r>
    <w:r w:rsidR="005E1C38" w:rsidRPr="005E1C38">
      <w:rPr>
        <w:rFonts w:ascii="Segoe UI" w:hAnsi="Segoe UI" w:cs="Segoe UI"/>
        <w:color w:val="FFFFFF" w:themeColor="background1"/>
        <w:sz w:val="24"/>
        <w:szCs w:val="24"/>
      </w:rPr>
      <w:tab/>
    </w:r>
    <w:r w:rsidR="005E1C38" w:rsidRPr="005E1C38">
      <w:rPr>
        <w:rFonts w:ascii="Segoe UI" w:hAnsi="Segoe UI" w:cs="Segoe UI"/>
        <w:color w:val="FFFFFF" w:themeColor="background1"/>
        <w:sz w:val="24"/>
        <w:szCs w:val="24"/>
      </w:rPr>
      <w:tab/>
      <w:t>College Office of Research &amp; Evaluation</w:t>
    </w:r>
  </w:p>
  <w:p w:rsidR="005E1C38" w:rsidRPr="005E1C38" w:rsidRDefault="005E1C38" w:rsidP="003237DD">
    <w:pPr>
      <w:pStyle w:val="Header"/>
      <w:shd w:val="clear" w:color="auto" w:fill="BDD6EE" w:themeFill="accent1" w:themeFillTint="66"/>
      <w:rPr>
        <w:rFonts w:ascii="Segoe UI" w:hAnsi="Segoe UI" w:cs="Segoe UI"/>
        <w:color w:val="FFFFFF" w:themeColor="background1"/>
        <w:sz w:val="24"/>
        <w:szCs w:val="24"/>
      </w:rPr>
    </w:pPr>
    <w:r>
      <w:rPr>
        <w:rFonts w:ascii="Segoe UI" w:hAnsi="Segoe UI" w:cs="Segoe UI"/>
        <w:color w:val="FFFFFF" w:themeColor="background1"/>
        <w:sz w:val="24"/>
        <w:szCs w:val="24"/>
      </w:rPr>
      <w:tab/>
    </w:r>
    <w:r>
      <w:rPr>
        <w:rFonts w:ascii="Segoe UI" w:hAnsi="Segoe UI" w:cs="Segoe UI"/>
        <w:color w:val="FFFFFF" w:themeColor="background1"/>
        <w:sz w:val="24"/>
        <w:szCs w:val="24"/>
      </w:rPr>
      <w:tab/>
    </w:r>
    <w:r w:rsidR="000233B3">
      <w:rPr>
        <w:rFonts w:ascii="Segoe UI" w:hAnsi="Segoe UI" w:cs="Segoe UI"/>
        <w:color w:val="FFFFFF" w:themeColor="background1"/>
        <w:sz w:val="24"/>
        <w:szCs w:val="24"/>
      </w:rPr>
      <w:t>May 2018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7DD" w:rsidRPr="003237DD" w:rsidRDefault="003237DD" w:rsidP="003237DD">
    <w:pPr>
      <w:pStyle w:val="Header"/>
      <w:jc w:val="right"/>
      <w:rPr>
        <w:rFonts w:ascii="Segoe UI" w:hAnsi="Segoe UI" w:cs="Segoe U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7A5"/>
    <w:multiLevelType w:val="multilevel"/>
    <w:tmpl w:val="94BA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715B5"/>
    <w:multiLevelType w:val="multilevel"/>
    <w:tmpl w:val="FF24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F57C4"/>
    <w:multiLevelType w:val="multilevel"/>
    <w:tmpl w:val="7F72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4688C"/>
    <w:multiLevelType w:val="hybridMultilevel"/>
    <w:tmpl w:val="148E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1299B"/>
    <w:multiLevelType w:val="hybridMultilevel"/>
    <w:tmpl w:val="CE7C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B354A"/>
    <w:multiLevelType w:val="multilevel"/>
    <w:tmpl w:val="15D2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440979"/>
    <w:multiLevelType w:val="hybridMultilevel"/>
    <w:tmpl w:val="38965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5875F3"/>
    <w:multiLevelType w:val="hybridMultilevel"/>
    <w:tmpl w:val="8B9A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5174B"/>
    <w:multiLevelType w:val="multilevel"/>
    <w:tmpl w:val="793C90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C38"/>
    <w:rsid w:val="00015638"/>
    <w:rsid w:val="000233B3"/>
    <w:rsid w:val="00044699"/>
    <w:rsid w:val="000566B1"/>
    <w:rsid w:val="000630BA"/>
    <w:rsid w:val="00087807"/>
    <w:rsid w:val="000E62D6"/>
    <w:rsid w:val="00135B9E"/>
    <w:rsid w:val="0016038A"/>
    <w:rsid w:val="00182942"/>
    <w:rsid w:val="001B2150"/>
    <w:rsid w:val="001B37AB"/>
    <w:rsid w:val="00241E93"/>
    <w:rsid w:val="002577D4"/>
    <w:rsid w:val="002E205C"/>
    <w:rsid w:val="00302C82"/>
    <w:rsid w:val="003237DD"/>
    <w:rsid w:val="00331817"/>
    <w:rsid w:val="00354FFE"/>
    <w:rsid w:val="00362EA5"/>
    <w:rsid w:val="003638F8"/>
    <w:rsid w:val="00376931"/>
    <w:rsid w:val="003E5531"/>
    <w:rsid w:val="004319CA"/>
    <w:rsid w:val="0049444E"/>
    <w:rsid w:val="004A071E"/>
    <w:rsid w:val="004B3123"/>
    <w:rsid w:val="004C4BED"/>
    <w:rsid w:val="005000F2"/>
    <w:rsid w:val="00535DEC"/>
    <w:rsid w:val="00552082"/>
    <w:rsid w:val="00553BEE"/>
    <w:rsid w:val="005555D2"/>
    <w:rsid w:val="005E1C38"/>
    <w:rsid w:val="005F5AFD"/>
    <w:rsid w:val="005F5E9C"/>
    <w:rsid w:val="0067382C"/>
    <w:rsid w:val="006D3969"/>
    <w:rsid w:val="007062C7"/>
    <w:rsid w:val="00720601"/>
    <w:rsid w:val="00782747"/>
    <w:rsid w:val="007872AF"/>
    <w:rsid w:val="00830AF8"/>
    <w:rsid w:val="00837158"/>
    <w:rsid w:val="00875975"/>
    <w:rsid w:val="008947E0"/>
    <w:rsid w:val="008A1C8D"/>
    <w:rsid w:val="0091750D"/>
    <w:rsid w:val="00924FDF"/>
    <w:rsid w:val="009365DB"/>
    <w:rsid w:val="00965B04"/>
    <w:rsid w:val="009813F9"/>
    <w:rsid w:val="00994B88"/>
    <w:rsid w:val="00995478"/>
    <w:rsid w:val="00A44E49"/>
    <w:rsid w:val="00A81776"/>
    <w:rsid w:val="00AC2879"/>
    <w:rsid w:val="00AC4C53"/>
    <w:rsid w:val="00B67E2D"/>
    <w:rsid w:val="00B7615D"/>
    <w:rsid w:val="00B92A85"/>
    <w:rsid w:val="00C249EA"/>
    <w:rsid w:val="00C60BB5"/>
    <w:rsid w:val="00C92E50"/>
    <w:rsid w:val="00CB7059"/>
    <w:rsid w:val="00D35137"/>
    <w:rsid w:val="00D51687"/>
    <w:rsid w:val="00D7642B"/>
    <w:rsid w:val="00D84784"/>
    <w:rsid w:val="00DD7D71"/>
    <w:rsid w:val="00E06497"/>
    <w:rsid w:val="00E06C19"/>
    <w:rsid w:val="00E70694"/>
    <w:rsid w:val="00EB4BAF"/>
    <w:rsid w:val="00EC271E"/>
    <w:rsid w:val="00ED2CFD"/>
    <w:rsid w:val="00F10D6D"/>
    <w:rsid w:val="00F37C06"/>
    <w:rsid w:val="00F57354"/>
    <w:rsid w:val="00F970B6"/>
    <w:rsid w:val="00FA75D3"/>
    <w:rsid w:val="00FF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C38"/>
  </w:style>
  <w:style w:type="paragraph" w:styleId="Footer">
    <w:name w:val="footer"/>
    <w:basedOn w:val="Normal"/>
    <w:link w:val="FooterChar"/>
    <w:uiPriority w:val="99"/>
    <w:unhideWhenUsed/>
    <w:rsid w:val="005E1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C38"/>
  </w:style>
  <w:style w:type="paragraph" w:styleId="FootnoteText">
    <w:name w:val="footnote text"/>
    <w:basedOn w:val="Normal"/>
    <w:link w:val="FootnoteTextChar"/>
    <w:uiPriority w:val="99"/>
    <w:semiHidden/>
    <w:unhideWhenUsed/>
    <w:rsid w:val="00ED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2CFD"/>
    <w:rPr>
      <w:vertAlign w:val="superscript"/>
    </w:rPr>
  </w:style>
  <w:style w:type="paragraph" w:styleId="NoSpacing">
    <w:name w:val="No Spacing"/>
    <w:link w:val="NoSpacingChar"/>
    <w:uiPriority w:val="1"/>
    <w:qFormat/>
    <w:rsid w:val="003237D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237DD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41E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E93"/>
    <w:rPr>
      <w:color w:val="954F72" w:themeColor="followedHyperlink"/>
      <w:u w:val="single"/>
    </w:rPr>
  </w:style>
  <w:style w:type="paragraph" w:customStyle="1" w:styleId="Default">
    <w:name w:val="Default"/>
    <w:rsid w:val="00EB4BAF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2A85"/>
    <w:pPr>
      <w:ind w:left="720"/>
      <w:contextualSpacing/>
    </w:pPr>
  </w:style>
  <w:style w:type="character" w:customStyle="1" w:styleId="notranslate">
    <w:name w:val="notranslate"/>
    <w:basedOn w:val="DefaultParagraphFont"/>
    <w:rsid w:val="00F10D6D"/>
  </w:style>
  <w:style w:type="table" w:styleId="TableGrid">
    <w:name w:val="Table Grid"/>
    <w:basedOn w:val="TableNormal"/>
    <w:uiPriority w:val="39"/>
    <w:rsid w:val="00F10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970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60BB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0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5753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11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0122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3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475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9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3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9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500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4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wmshowcase.com/lmilibrary/documents/lma_CVML_16.pdf" TargetMode="External"/><Relationship Id="rId7" Type="http://schemas.openxmlformats.org/officeDocument/2006/relationships/hyperlink" Target="http://dwmshowcase.com/lmilibrary/documents/lma_CVML_16.pdf" TargetMode="External"/><Relationship Id="rId2" Type="http://schemas.openxmlformats.org/officeDocument/2006/relationships/hyperlink" Target="https://www.selectusa.gov/professional-services-industry-united-states" TargetMode="External"/><Relationship Id="rId1" Type="http://schemas.openxmlformats.org/officeDocument/2006/relationships/hyperlink" Target="http://www.dot.ca.gov/hq/tpp/offices/eab/socio_economic_files/2017/Fresno.pdf" TargetMode="External"/><Relationship Id="rId6" Type="http://schemas.openxmlformats.org/officeDocument/2006/relationships/hyperlink" Target="http://dwmshowcase.com/lmilibrary/documents/dwm_sector_smbus_13.pdf" TargetMode="External"/><Relationship Id="rId5" Type="http://schemas.openxmlformats.org/officeDocument/2006/relationships/hyperlink" Target="http://dwmshowcase.com/lmilibrary/documents/dwm_sector_smbus_13.pdf" TargetMode="External"/><Relationship Id="rId4" Type="http://schemas.openxmlformats.org/officeDocument/2006/relationships/hyperlink" Target="http://dwmshowcase.com/lmilibrary/documents/lma_CVML_16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5E5198-CE96-4448-8942-4E896A7519D8}" type="doc">
      <dgm:prSet loTypeId="urn:microsoft.com/office/officeart/2005/8/layout/pyramid3" loCatId="pyramid" qsTypeId="urn:microsoft.com/office/officeart/2005/8/quickstyle/simple1" qsCatId="simple" csTypeId="urn:microsoft.com/office/officeart/2005/8/colors/accent1_4" csCatId="accent1" phldr="1"/>
      <dgm:spPr/>
    </dgm:pt>
    <dgm:pt modelId="{43561D2C-73B8-4245-9E26-59742F72DE93}">
      <dgm:prSet phldrT="[Text]"/>
      <dgm:spPr/>
      <dgm:t>
        <a:bodyPr/>
        <a:lstStyle/>
        <a:p>
          <a:pPr algn="ctr"/>
          <a:r>
            <a:rPr lang="en-US" b="1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Professional, Technical and Scientific Services (42,541)</a:t>
          </a:r>
        </a:p>
      </dgm:t>
    </dgm:pt>
    <dgm:pt modelId="{1F6F8EDD-AA2E-455D-8F37-25B9BB4F9BD6}" type="parTrans" cxnId="{0F2DF048-E298-4DF9-BF81-7E4FE45A0708}">
      <dgm:prSet/>
      <dgm:spPr/>
      <dgm:t>
        <a:bodyPr/>
        <a:lstStyle/>
        <a:p>
          <a:pPr algn="ctr"/>
          <a:endParaRPr lang="en-US"/>
        </a:p>
      </dgm:t>
    </dgm:pt>
    <dgm:pt modelId="{6E69A5C8-AD35-4E49-AB6C-58E8FDD80EF6}" type="sibTrans" cxnId="{0F2DF048-E298-4DF9-BF81-7E4FE45A0708}">
      <dgm:prSet/>
      <dgm:spPr/>
      <dgm:t>
        <a:bodyPr/>
        <a:lstStyle/>
        <a:p>
          <a:pPr algn="ctr"/>
          <a:endParaRPr lang="en-US"/>
        </a:p>
      </dgm:t>
    </dgm:pt>
    <dgm:pt modelId="{2B95F2D0-7DEA-40B2-8EFB-2AEC7C0B4552}">
      <dgm:prSet phldrT="[Text]"/>
      <dgm:spPr/>
      <dgm:t>
        <a:bodyPr/>
        <a:lstStyle/>
        <a:p>
          <a:pPr algn="ctr"/>
          <a:r>
            <a:rPr lang="en-US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Personal and Laundry Services (19,862</a:t>
          </a:r>
          <a:r>
            <a:rPr lang="en-US"/>
            <a:t>)</a:t>
          </a:r>
        </a:p>
      </dgm:t>
    </dgm:pt>
    <dgm:pt modelId="{3939AA07-7A46-4B0F-80FC-64AA0D20B632}" type="parTrans" cxnId="{DEDA3E4A-FB40-4327-8E3A-01C13E5A528C}">
      <dgm:prSet/>
      <dgm:spPr/>
      <dgm:t>
        <a:bodyPr/>
        <a:lstStyle/>
        <a:p>
          <a:pPr algn="ctr"/>
          <a:endParaRPr lang="en-US"/>
        </a:p>
      </dgm:t>
    </dgm:pt>
    <dgm:pt modelId="{6B241A25-99B4-4A21-ADF8-1822513CA4F3}" type="sibTrans" cxnId="{DEDA3E4A-FB40-4327-8E3A-01C13E5A528C}">
      <dgm:prSet/>
      <dgm:spPr/>
      <dgm:t>
        <a:bodyPr/>
        <a:lstStyle/>
        <a:p>
          <a:pPr algn="ctr"/>
          <a:endParaRPr lang="en-US"/>
        </a:p>
      </dgm:t>
    </dgm:pt>
    <dgm:pt modelId="{5EE8E24D-C77B-4D36-899B-B81B96B3B3A6}">
      <dgm:prSet phldrT="[Text]"/>
      <dgm:spPr/>
      <dgm:t>
        <a:bodyPr/>
        <a:lstStyle/>
        <a:p>
          <a:pPr algn="ctr"/>
          <a:r>
            <a:rPr lang="en-US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Repair and Maintenance (15,815) </a:t>
          </a:r>
        </a:p>
      </dgm:t>
    </dgm:pt>
    <dgm:pt modelId="{8754C07F-465D-4961-9B4B-9537F9DD9B04}" type="parTrans" cxnId="{7E8D1B79-422F-4921-A7FA-D0831DED08FE}">
      <dgm:prSet/>
      <dgm:spPr/>
      <dgm:t>
        <a:bodyPr/>
        <a:lstStyle/>
        <a:p>
          <a:pPr algn="ctr"/>
          <a:endParaRPr lang="en-US"/>
        </a:p>
      </dgm:t>
    </dgm:pt>
    <dgm:pt modelId="{591D735C-7573-4512-8824-ED9F922806A4}" type="sibTrans" cxnId="{7E8D1B79-422F-4921-A7FA-D0831DED08FE}">
      <dgm:prSet/>
      <dgm:spPr/>
      <dgm:t>
        <a:bodyPr/>
        <a:lstStyle/>
        <a:p>
          <a:pPr algn="ctr"/>
          <a:endParaRPr lang="en-US"/>
        </a:p>
      </dgm:t>
    </dgm:pt>
    <dgm:pt modelId="{76F6865D-4190-4915-A317-93160BBF3D1E}">
      <dgm:prSet/>
      <dgm:spPr/>
      <dgm:t>
        <a:bodyPr/>
        <a:lstStyle/>
        <a:p>
          <a:pPr algn="ctr"/>
          <a:r>
            <a:rPr lang="en-US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Specialty Trade/Contractors (18,044) </a:t>
          </a:r>
        </a:p>
      </dgm:t>
    </dgm:pt>
    <dgm:pt modelId="{3F536BBE-BB30-49AF-B505-A1009564C682}" type="parTrans" cxnId="{9C250E09-D2A2-4070-B942-4E12BD42A1C4}">
      <dgm:prSet/>
      <dgm:spPr/>
      <dgm:t>
        <a:bodyPr/>
        <a:lstStyle/>
        <a:p>
          <a:pPr algn="ctr"/>
          <a:endParaRPr lang="en-US"/>
        </a:p>
      </dgm:t>
    </dgm:pt>
    <dgm:pt modelId="{E00D91D1-E671-4DAD-98AC-10FB5EDA9B62}" type="sibTrans" cxnId="{9C250E09-D2A2-4070-B942-4E12BD42A1C4}">
      <dgm:prSet/>
      <dgm:spPr/>
      <dgm:t>
        <a:bodyPr/>
        <a:lstStyle/>
        <a:p>
          <a:pPr algn="ctr"/>
          <a:endParaRPr lang="en-US"/>
        </a:p>
      </dgm:t>
    </dgm:pt>
    <dgm:pt modelId="{697025A0-20CD-4736-8191-F6CFABCF1AEC}">
      <dgm:prSet/>
      <dgm:spPr/>
      <dgm:t>
        <a:bodyPr/>
        <a:lstStyle/>
        <a:p>
          <a:pPr algn="ctr"/>
          <a:r>
            <a:rPr lang="en-US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Adminstrative and Support Services (14,774) </a:t>
          </a:r>
        </a:p>
      </dgm:t>
    </dgm:pt>
    <dgm:pt modelId="{73A55760-424B-48B2-92A6-934B6084C14D}" type="parTrans" cxnId="{1CE5DE95-FEFF-4BA4-B28C-DD5EA2CB7597}">
      <dgm:prSet/>
      <dgm:spPr/>
      <dgm:t>
        <a:bodyPr/>
        <a:lstStyle/>
        <a:p>
          <a:pPr algn="ctr"/>
          <a:endParaRPr lang="en-US"/>
        </a:p>
      </dgm:t>
    </dgm:pt>
    <dgm:pt modelId="{1A32FF90-0C53-439C-A9CB-B09CC3703E62}" type="sibTrans" cxnId="{1CE5DE95-FEFF-4BA4-B28C-DD5EA2CB7597}">
      <dgm:prSet/>
      <dgm:spPr/>
      <dgm:t>
        <a:bodyPr/>
        <a:lstStyle/>
        <a:p>
          <a:pPr algn="ctr"/>
          <a:endParaRPr lang="en-US"/>
        </a:p>
      </dgm:t>
    </dgm:pt>
    <dgm:pt modelId="{99ABC092-1450-4BA9-BE5F-CA721FE55809}" type="pres">
      <dgm:prSet presAssocID="{995E5198-CE96-4448-8942-4E896A7519D8}" presName="Name0" presStyleCnt="0">
        <dgm:presLayoutVars>
          <dgm:dir/>
          <dgm:animLvl val="lvl"/>
          <dgm:resizeHandles val="exact"/>
        </dgm:presLayoutVars>
      </dgm:prSet>
      <dgm:spPr/>
    </dgm:pt>
    <dgm:pt modelId="{59FD2292-B0AC-469D-8038-A82E71CCBBC8}" type="pres">
      <dgm:prSet presAssocID="{43561D2C-73B8-4245-9E26-59742F72DE93}" presName="Name8" presStyleCnt="0"/>
      <dgm:spPr/>
    </dgm:pt>
    <dgm:pt modelId="{35CF215E-389F-4DAB-84E3-7DCD9D9D0785}" type="pres">
      <dgm:prSet presAssocID="{43561D2C-73B8-4245-9E26-59742F72DE93}" presName="level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B169A8-12B6-4889-B504-1E4B21351E8F}" type="pres">
      <dgm:prSet presAssocID="{43561D2C-73B8-4245-9E26-59742F72DE9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7844B6-DF1E-4625-91ED-20B41E44ECCF}" type="pres">
      <dgm:prSet presAssocID="{2B95F2D0-7DEA-40B2-8EFB-2AEC7C0B4552}" presName="Name8" presStyleCnt="0"/>
      <dgm:spPr/>
    </dgm:pt>
    <dgm:pt modelId="{0B55D1CD-419C-49A8-B8F0-044B47129A7A}" type="pres">
      <dgm:prSet presAssocID="{2B95F2D0-7DEA-40B2-8EFB-2AEC7C0B4552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497FAA-C266-4EDB-81EC-7E7711EB9811}" type="pres">
      <dgm:prSet presAssocID="{2B95F2D0-7DEA-40B2-8EFB-2AEC7C0B455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60DFBB-4F17-400D-8DAD-48CF75C5B3AE}" type="pres">
      <dgm:prSet presAssocID="{76F6865D-4190-4915-A317-93160BBF3D1E}" presName="Name8" presStyleCnt="0"/>
      <dgm:spPr/>
    </dgm:pt>
    <dgm:pt modelId="{7584A7A8-80F4-4935-9179-28936BE89224}" type="pres">
      <dgm:prSet presAssocID="{76F6865D-4190-4915-A317-93160BBF3D1E}" presName="level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A951F1-BF44-435E-A279-035C1A4C9439}" type="pres">
      <dgm:prSet presAssocID="{76F6865D-4190-4915-A317-93160BBF3D1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C54FE9-0D04-4E47-B887-AF1D7091CF40}" type="pres">
      <dgm:prSet presAssocID="{5EE8E24D-C77B-4D36-899B-B81B96B3B3A6}" presName="Name8" presStyleCnt="0"/>
      <dgm:spPr/>
    </dgm:pt>
    <dgm:pt modelId="{EC5B3155-271C-44C7-990C-8422A24B3338}" type="pres">
      <dgm:prSet presAssocID="{5EE8E24D-C77B-4D36-899B-B81B96B3B3A6}" presName="level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25049B-45DF-4656-9CC0-4E21F3F5957D}" type="pres">
      <dgm:prSet presAssocID="{5EE8E24D-C77B-4D36-899B-B81B96B3B3A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F0F22E-1D57-4268-8536-BB66C7289DC0}" type="pres">
      <dgm:prSet presAssocID="{697025A0-20CD-4736-8191-F6CFABCF1AEC}" presName="Name8" presStyleCnt="0"/>
      <dgm:spPr/>
    </dgm:pt>
    <dgm:pt modelId="{ACB04053-F593-4853-8231-8330C243687C}" type="pres">
      <dgm:prSet presAssocID="{697025A0-20CD-4736-8191-F6CFABCF1AEC}" presName="level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94B1F7-456D-4F74-93DB-1FFC0C7B5A15}" type="pres">
      <dgm:prSet presAssocID="{697025A0-20CD-4736-8191-F6CFABCF1A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0449F28-78C4-4AE3-8ECF-437CA7194CCE}" type="presOf" srcId="{76F6865D-4190-4915-A317-93160BBF3D1E}" destId="{60A951F1-BF44-435E-A279-035C1A4C9439}" srcOrd="1" destOrd="0" presId="urn:microsoft.com/office/officeart/2005/8/layout/pyramid3"/>
    <dgm:cxn modelId="{7A4917A1-CC02-4AF7-96CC-5F7504F214C5}" type="presOf" srcId="{76F6865D-4190-4915-A317-93160BBF3D1E}" destId="{7584A7A8-80F4-4935-9179-28936BE89224}" srcOrd="0" destOrd="0" presId="urn:microsoft.com/office/officeart/2005/8/layout/pyramid3"/>
    <dgm:cxn modelId="{60D444FA-3F12-4097-8A97-7D283A53881E}" type="presOf" srcId="{697025A0-20CD-4736-8191-F6CFABCF1AEC}" destId="{ACB04053-F593-4853-8231-8330C243687C}" srcOrd="0" destOrd="0" presId="urn:microsoft.com/office/officeart/2005/8/layout/pyramid3"/>
    <dgm:cxn modelId="{AD81DACA-4FE5-4E1F-B42D-3079C237FF36}" type="presOf" srcId="{995E5198-CE96-4448-8942-4E896A7519D8}" destId="{99ABC092-1450-4BA9-BE5F-CA721FE55809}" srcOrd="0" destOrd="0" presId="urn:microsoft.com/office/officeart/2005/8/layout/pyramid3"/>
    <dgm:cxn modelId="{1CE5DE95-FEFF-4BA4-B28C-DD5EA2CB7597}" srcId="{995E5198-CE96-4448-8942-4E896A7519D8}" destId="{697025A0-20CD-4736-8191-F6CFABCF1AEC}" srcOrd="4" destOrd="0" parTransId="{73A55760-424B-48B2-92A6-934B6084C14D}" sibTransId="{1A32FF90-0C53-439C-A9CB-B09CC3703E62}"/>
    <dgm:cxn modelId="{DEDA3E4A-FB40-4327-8E3A-01C13E5A528C}" srcId="{995E5198-CE96-4448-8942-4E896A7519D8}" destId="{2B95F2D0-7DEA-40B2-8EFB-2AEC7C0B4552}" srcOrd="1" destOrd="0" parTransId="{3939AA07-7A46-4B0F-80FC-64AA0D20B632}" sibTransId="{6B241A25-99B4-4A21-ADF8-1822513CA4F3}"/>
    <dgm:cxn modelId="{A32D094B-2D0F-4945-BC33-706BE3B85789}" type="presOf" srcId="{43561D2C-73B8-4245-9E26-59742F72DE93}" destId="{88B169A8-12B6-4889-B504-1E4B21351E8F}" srcOrd="1" destOrd="0" presId="urn:microsoft.com/office/officeart/2005/8/layout/pyramid3"/>
    <dgm:cxn modelId="{1521D6B9-1E4F-4D11-9E5C-C86D72BD7BFB}" type="presOf" srcId="{43561D2C-73B8-4245-9E26-59742F72DE93}" destId="{35CF215E-389F-4DAB-84E3-7DCD9D9D0785}" srcOrd="0" destOrd="0" presId="urn:microsoft.com/office/officeart/2005/8/layout/pyramid3"/>
    <dgm:cxn modelId="{F8118334-4FB5-4744-9582-0B5D8D0F6D19}" type="presOf" srcId="{2B95F2D0-7DEA-40B2-8EFB-2AEC7C0B4552}" destId="{3E497FAA-C266-4EDB-81EC-7E7711EB9811}" srcOrd="1" destOrd="0" presId="urn:microsoft.com/office/officeart/2005/8/layout/pyramid3"/>
    <dgm:cxn modelId="{7E8D1B79-422F-4921-A7FA-D0831DED08FE}" srcId="{995E5198-CE96-4448-8942-4E896A7519D8}" destId="{5EE8E24D-C77B-4D36-899B-B81B96B3B3A6}" srcOrd="3" destOrd="0" parTransId="{8754C07F-465D-4961-9B4B-9537F9DD9B04}" sibTransId="{591D735C-7573-4512-8824-ED9F922806A4}"/>
    <dgm:cxn modelId="{1731C180-4E98-4F28-9A61-7C4851C2B62D}" type="presOf" srcId="{5EE8E24D-C77B-4D36-899B-B81B96B3B3A6}" destId="{EC5B3155-271C-44C7-990C-8422A24B3338}" srcOrd="0" destOrd="0" presId="urn:microsoft.com/office/officeart/2005/8/layout/pyramid3"/>
    <dgm:cxn modelId="{9C250E09-D2A2-4070-B942-4E12BD42A1C4}" srcId="{995E5198-CE96-4448-8942-4E896A7519D8}" destId="{76F6865D-4190-4915-A317-93160BBF3D1E}" srcOrd="2" destOrd="0" parTransId="{3F536BBE-BB30-49AF-B505-A1009564C682}" sibTransId="{E00D91D1-E671-4DAD-98AC-10FB5EDA9B62}"/>
    <dgm:cxn modelId="{0F6FC559-7BD2-43A8-B5F0-5FF8867787DC}" type="presOf" srcId="{697025A0-20CD-4736-8191-F6CFABCF1AEC}" destId="{2494B1F7-456D-4F74-93DB-1FFC0C7B5A15}" srcOrd="1" destOrd="0" presId="urn:microsoft.com/office/officeart/2005/8/layout/pyramid3"/>
    <dgm:cxn modelId="{C8C221BE-F3DA-444C-AC4D-D023D759FF59}" type="presOf" srcId="{2B95F2D0-7DEA-40B2-8EFB-2AEC7C0B4552}" destId="{0B55D1CD-419C-49A8-B8F0-044B47129A7A}" srcOrd="0" destOrd="0" presId="urn:microsoft.com/office/officeart/2005/8/layout/pyramid3"/>
    <dgm:cxn modelId="{0F2DF048-E298-4DF9-BF81-7E4FE45A0708}" srcId="{995E5198-CE96-4448-8942-4E896A7519D8}" destId="{43561D2C-73B8-4245-9E26-59742F72DE93}" srcOrd="0" destOrd="0" parTransId="{1F6F8EDD-AA2E-455D-8F37-25B9BB4F9BD6}" sibTransId="{6E69A5C8-AD35-4E49-AB6C-58E8FDD80EF6}"/>
    <dgm:cxn modelId="{87E7690A-B92F-4C07-BAF7-BA15A3F4295B}" type="presOf" srcId="{5EE8E24D-C77B-4D36-899B-B81B96B3B3A6}" destId="{4025049B-45DF-4656-9CC0-4E21F3F5957D}" srcOrd="1" destOrd="0" presId="urn:microsoft.com/office/officeart/2005/8/layout/pyramid3"/>
    <dgm:cxn modelId="{61E0DF1E-295C-42F4-897D-06399EB20933}" type="presParOf" srcId="{99ABC092-1450-4BA9-BE5F-CA721FE55809}" destId="{59FD2292-B0AC-469D-8038-A82E71CCBBC8}" srcOrd="0" destOrd="0" presId="urn:microsoft.com/office/officeart/2005/8/layout/pyramid3"/>
    <dgm:cxn modelId="{E13E7866-B08F-4102-B85D-14C9FE20A44F}" type="presParOf" srcId="{59FD2292-B0AC-469D-8038-A82E71CCBBC8}" destId="{35CF215E-389F-4DAB-84E3-7DCD9D9D0785}" srcOrd="0" destOrd="0" presId="urn:microsoft.com/office/officeart/2005/8/layout/pyramid3"/>
    <dgm:cxn modelId="{427B1BEF-960D-4E22-B6B3-4F74A39F1D99}" type="presParOf" srcId="{59FD2292-B0AC-469D-8038-A82E71CCBBC8}" destId="{88B169A8-12B6-4889-B504-1E4B21351E8F}" srcOrd="1" destOrd="0" presId="urn:microsoft.com/office/officeart/2005/8/layout/pyramid3"/>
    <dgm:cxn modelId="{1C9CFDE1-FB4C-4310-A775-6E8633D18E92}" type="presParOf" srcId="{99ABC092-1450-4BA9-BE5F-CA721FE55809}" destId="{B07844B6-DF1E-4625-91ED-20B41E44ECCF}" srcOrd="1" destOrd="0" presId="urn:microsoft.com/office/officeart/2005/8/layout/pyramid3"/>
    <dgm:cxn modelId="{4287F230-F0DD-44FF-9E86-664099167D8D}" type="presParOf" srcId="{B07844B6-DF1E-4625-91ED-20B41E44ECCF}" destId="{0B55D1CD-419C-49A8-B8F0-044B47129A7A}" srcOrd="0" destOrd="0" presId="urn:microsoft.com/office/officeart/2005/8/layout/pyramid3"/>
    <dgm:cxn modelId="{A1979FD4-1819-4016-A4B2-165387620140}" type="presParOf" srcId="{B07844B6-DF1E-4625-91ED-20B41E44ECCF}" destId="{3E497FAA-C266-4EDB-81EC-7E7711EB9811}" srcOrd="1" destOrd="0" presId="urn:microsoft.com/office/officeart/2005/8/layout/pyramid3"/>
    <dgm:cxn modelId="{0C02102B-CAAB-4405-8196-18E10AADCBDA}" type="presParOf" srcId="{99ABC092-1450-4BA9-BE5F-CA721FE55809}" destId="{7560DFBB-4F17-400D-8DAD-48CF75C5B3AE}" srcOrd="2" destOrd="0" presId="urn:microsoft.com/office/officeart/2005/8/layout/pyramid3"/>
    <dgm:cxn modelId="{FCFA84D9-B34A-49A1-8132-AE359FBAB36C}" type="presParOf" srcId="{7560DFBB-4F17-400D-8DAD-48CF75C5B3AE}" destId="{7584A7A8-80F4-4935-9179-28936BE89224}" srcOrd="0" destOrd="0" presId="urn:microsoft.com/office/officeart/2005/8/layout/pyramid3"/>
    <dgm:cxn modelId="{79C51AF1-5DDD-4A31-8CF9-B24AEA7F7CF2}" type="presParOf" srcId="{7560DFBB-4F17-400D-8DAD-48CF75C5B3AE}" destId="{60A951F1-BF44-435E-A279-035C1A4C9439}" srcOrd="1" destOrd="0" presId="urn:microsoft.com/office/officeart/2005/8/layout/pyramid3"/>
    <dgm:cxn modelId="{6BD5B7F9-B7E1-48E8-BB30-F4B71F5446B5}" type="presParOf" srcId="{99ABC092-1450-4BA9-BE5F-CA721FE55809}" destId="{15C54FE9-0D04-4E47-B887-AF1D7091CF40}" srcOrd="3" destOrd="0" presId="urn:microsoft.com/office/officeart/2005/8/layout/pyramid3"/>
    <dgm:cxn modelId="{29A66543-1B2C-4E6A-8277-9AF07968BCAE}" type="presParOf" srcId="{15C54FE9-0D04-4E47-B887-AF1D7091CF40}" destId="{EC5B3155-271C-44C7-990C-8422A24B3338}" srcOrd="0" destOrd="0" presId="urn:microsoft.com/office/officeart/2005/8/layout/pyramid3"/>
    <dgm:cxn modelId="{D4E7F198-10A2-448B-B23D-ADBEF6257B33}" type="presParOf" srcId="{15C54FE9-0D04-4E47-B887-AF1D7091CF40}" destId="{4025049B-45DF-4656-9CC0-4E21F3F5957D}" srcOrd="1" destOrd="0" presId="urn:microsoft.com/office/officeart/2005/8/layout/pyramid3"/>
    <dgm:cxn modelId="{0A0D2D7F-E6DD-43AF-8EEA-335309C307F4}" type="presParOf" srcId="{99ABC092-1450-4BA9-BE5F-CA721FE55809}" destId="{D1F0F22E-1D57-4268-8536-BB66C7289DC0}" srcOrd="4" destOrd="0" presId="urn:microsoft.com/office/officeart/2005/8/layout/pyramid3"/>
    <dgm:cxn modelId="{A6DF6596-760D-460E-880C-8E91E026C217}" type="presParOf" srcId="{D1F0F22E-1D57-4268-8536-BB66C7289DC0}" destId="{ACB04053-F593-4853-8231-8330C243687C}" srcOrd="0" destOrd="0" presId="urn:microsoft.com/office/officeart/2005/8/layout/pyramid3"/>
    <dgm:cxn modelId="{9AE0556E-9683-4741-86A4-4F3B677F90F2}" type="presParOf" srcId="{D1F0F22E-1D57-4268-8536-BB66C7289DC0}" destId="{2494B1F7-456D-4F74-93DB-1FFC0C7B5A15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CF215E-389F-4DAB-84E3-7DCD9D9D0785}">
      <dsp:nvSpPr>
        <dsp:cNvPr id="0" name=""/>
        <dsp:cNvSpPr/>
      </dsp:nvSpPr>
      <dsp:spPr>
        <a:xfrm rot="10800000">
          <a:off x="0" y="0"/>
          <a:ext cx="5543550" cy="548640"/>
        </a:xfrm>
        <a:prstGeom prst="trapezoid">
          <a:avLst>
            <a:gd name="adj" fmla="val 101042"/>
          </a:avLst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Professional, Technical and Scientific Services (42,541)</a:t>
          </a:r>
        </a:p>
      </dsp:txBody>
      <dsp:txXfrm rot="-10800000">
        <a:off x="970121" y="0"/>
        <a:ext cx="3603307" cy="548640"/>
      </dsp:txXfrm>
    </dsp:sp>
    <dsp:sp modelId="{0B55D1CD-419C-49A8-B8F0-044B47129A7A}">
      <dsp:nvSpPr>
        <dsp:cNvPr id="0" name=""/>
        <dsp:cNvSpPr/>
      </dsp:nvSpPr>
      <dsp:spPr>
        <a:xfrm rot="10800000">
          <a:off x="554355" y="548639"/>
          <a:ext cx="4434840" cy="548640"/>
        </a:xfrm>
        <a:prstGeom prst="trapezoid">
          <a:avLst>
            <a:gd name="adj" fmla="val 101042"/>
          </a:avLst>
        </a:prstGeom>
        <a:solidFill>
          <a:schemeClr val="accent1">
            <a:shade val="50000"/>
            <a:hueOff val="133703"/>
            <a:satOff val="3582"/>
            <a:lumOff val="157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Personal and Laundry Services (19,862</a:t>
          </a:r>
          <a:r>
            <a:rPr lang="en-US" sz="1100" kern="1200"/>
            <a:t>)</a:t>
          </a:r>
        </a:p>
      </dsp:txBody>
      <dsp:txXfrm rot="-10800000">
        <a:off x="1330451" y="548639"/>
        <a:ext cx="2882646" cy="548640"/>
      </dsp:txXfrm>
    </dsp:sp>
    <dsp:sp modelId="{7584A7A8-80F4-4935-9179-28936BE89224}">
      <dsp:nvSpPr>
        <dsp:cNvPr id="0" name=""/>
        <dsp:cNvSpPr/>
      </dsp:nvSpPr>
      <dsp:spPr>
        <a:xfrm rot="10800000">
          <a:off x="1108710" y="1097280"/>
          <a:ext cx="3326130" cy="548640"/>
        </a:xfrm>
        <a:prstGeom prst="trapezoid">
          <a:avLst>
            <a:gd name="adj" fmla="val 101042"/>
          </a:avLst>
        </a:prstGeom>
        <a:solidFill>
          <a:schemeClr val="accent1">
            <a:shade val="50000"/>
            <a:hueOff val="267407"/>
            <a:satOff val="7164"/>
            <a:lumOff val="3156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Specialty Trade/Contractors (18,044) </a:t>
          </a:r>
        </a:p>
      </dsp:txBody>
      <dsp:txXfrm rot="-10800000">
        <a:off x="1690782" y="1097280"/>
        <a:ext cx="2161984" cy="548640"/>
      </dsp:txXfrm>
    </dsp:sp>
    <dsp:sp modelId="{EC5B3155-271C-44C7-990C-8422A24B3338}">
      <dsp:nvSpPr>
        <dsp:cNvPr id="0" name=""/>
        <dsp:cNvSpPr/>
      </dsp:nvSpPr>
      <dsp:spPr>
        <a:xfrm rot="10800000">
          <a:off x="1663065" y="1645920"/>
          <a:ext cx="2217420" cy="548640"/>
        </a:xfrm>
        <a:prstGeom prst="trapezoid">
          <a:avLst>
            <a:gd name="adj" fmla="val 101042"/>
          </a:avLst>
        </a:prstGeom>
        <a:solidFill>
          <a:schemeClr val="accent1">
            <a:shade val="50000"/>
            <a:hueOff val="267407"/>
            <a:satOff val="7164"/>
            <a:lumOff val="3156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Repair and Maintenance (15,815) </a:t>
          </a:r>
        </a:p>
      </dsp:txBody>
      <dsp:txXfrm rot="-10800000">
        <a:off x="2051113" y="1645920"/>
        <a:ext cx="1441323" cy="548640"/>
      </dsp:txXfrm>
    </dsp:sp>
    <dsp:sp modelId="{ACB04053-F593-4853-8231-8330C243687C}">
      <dsp:nvSpPr>
        <dsp:cNvPr id="0" name=""/>
        <dsp:cNvSpPr/>
      </dsp:nvSpPr>
      <dsp:spPr>
        <a:xfrm rot="10800000">
          <a:off x="2217420" y="2194560"/>
          <a:ext cx="1108710" cy="548640"/>
        </a:xfrm>
        <a:prstGeom prst="trapezoid">
          <a:avLst>
            <a:gd name="adj" fmla="val 101042"/>
          </a:avLst>
        </a:prstGeom>
        <a:solidFill>
          <a:schemeClr val="accent1">
            <a:shade val="50000"/>
            <a:hueOff val="133703"/>
            <a:satOff val="3582"/>
            <a:lumOff val="157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Adminstrative and Support Services (14,774) </a:t>
          </a:r>
        </a:p>
      </dsp:txBody>
      <dsp:txXfrm rot="-10800000">
        <a:off x="2217420" y="2194560"/>
        <a:ext cx="1108710" cy="5486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F8679-54FF-421B-9BA7-C90EDC7E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 MARKET DATA</vt:lpstr>
    </vt:vector>
  </TitlesOfParts>
  <Company>SCCCD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 MARKET DATA</dc:title>
  <dc:subject>Business Foundations Certificate</dc:subject>
  <dc:creator>Elizabeth Villalobos</dc:creator>
  <cp:lastModifiedBy>Dave</cp:lastModifiedBy>
  <cp:revision>34</cp:revision>
  <dcterms:created xsi:type="dcterms:W3CDTF">2018-09-03T18:39:00Z</dcterms:created>
  <dcterms:modified xsi:type="dcterms:W3CDTF">2018-09-03T20:58:00Z</dcterms:modified>
</cp:coreProperties>
</file>